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Miami-Dade County, United States Miami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administrative efficacy of the Education Administrator serving within the educational framework of United States Miami. The review process adheres to the rigorous standards set forth by the Florida Department of Education and local district policies. The primary objective of this assessment is to ensure that the administrator is effectively fostering an environment conducive to academic excellence, operational efficiency, and community engagement within the diverse cultural landscape of Miami.</w:t>
      </w:r>
    </w:p>
    <w:p>
      <w:pPr>
        <w:pStyle w:val="BodyText"/>
      </w:pPr>
      <w:r>
        <w:t xml:space="preserve">The findings indicate a high level of competency in strategic planning and stakeholder management. However, specific areas regarding resource allocation and technological integration require targeted professional development to align with the evolving educational needs of the region.</w:t>
      </w:r>
    </w:p>
    <w:bookmarkEnd w:id="21"/>
    <w:bookmarkStart w:id="22" w:name="introduction-and-context"/>
    <w:p>
      <w:pPr>
        <w:pStyle w:val="Heading2"/>
      </w:pPr>
      <w:r>
        <w:t xml:space="preserve">2. Introduction and Context</w:t>
      </w:r>
    </w:p>
    <w:p>
      <w:pPr>
        <w:pStyle w:val="FirstParagraph"/>
      </w:pPr>
      <w:r>
        <w:t xml:space="preserve">The role of an Education Administrator in United States Miami is uniquely complex due to the demographic diversity, linguistic variety, and economic disparities present in the community. This peer review was initiated to assess how well the subject administrator navigates these challenges while maintaining compliance with state mandates and federal regulations. The review panel consisted of three senior educational leaders from neighboring districts within South Florida, ensuring an unbiased and comprehensive evaluation.</w:t>
      </w:r>
    </w:p>
    <w:p>
      <w:pPr>
        <w:pStyle w:val="BodyText"/>
      </w:pPr>
      <w:r>
        <w:t xml:space="preserve">The scope of this review covers the fiscal year 2022-2023, focusing on curriculum implementation, staff development, student achievement metrics, and community relations. The methodology included classroom observations, staff interviews, analysis of standardized test data, and a review of financial records.</w:t>
      </w:r>
    </w:p>
    <w:bookmarkEnd w:id="22"/>
    <w:bookmarkStart w:id="23" w:name="leadership-and-vision"/>
    <w:p>
      <w:pPr>
        <w:pStyle w:val="Heading2"/>
      </w:pPr>
      <w:r>
        <w:t xml:space="preserve">3. Leadership and Vision</w:t>
      </w:r>
    </w:p>
    <w:p>
      <w:pPr>
        <w:pStyle w:val="FirstParagraph"/>
      </w:pPr>
      <w:r>
        <w:t xml:space="preserve">The Education Administrator has demonstrated a clear and compelling vision for the institution. This vision is closely aligned with the broader goals of the Miami-Dade County Public Schools system. The administrator has successfully articulated a mission that emphasizes inclusivity and academic rigor, which is particularly vital in the multicultural environment of Miami.</w:t>
      </w:r>
    </w:p>
    <w:p>
      <w:pPr>
        <w:pStyle w:val="BodyText"/>
      </w:pPr>
      <w:r>
        <w:t xml:space="preserve">One of the standout strengths observed during this peer review is the administrator's ability to inspire faculty and staff. Through regular town hall meetings and open-door policies, the administrator has fostered a culture of transparency and collaboration. This approach has resulted in increased staff morale and a stronger sense of shared purpose among the educational team.</w:t>
      </w:r>
    </w:p>
    <w:bookmarkEnd w:id="23"/>
    <w:bookmarkStart w:id="24" w:name="instructional-leadership-and-curriculum"/>
    <w:p>
      <w:pPr>
        <w:pStyle w:val="Heading2"/>
      </w:pPr>
      <w:r>
        <w:t xml:space="preserve">4. Instructional Leadership and Curriculum</w:t>
      </w:r>
    </w:p>
    <w:p>
      <w:pPr>
        <w:pStyle w:val="FirstParagraph"/>
      </w:pPr>
      <w:r>
        <w:t xml:space="preserve">A critical component of the Education Administrator's role is ensuring high-quality instruction. The review found that the administrator actively engages in instructional leadership by conducting frequent classroom walkthroughs and providing constructive feedback to teachers. This hands-on approach has contributed to a noticeable improvement in pedagogical practices across various grade levels.</w:t>
      </w:r>
    </w:p>
    <w:p>
      <w:pPr>
        <w:pStyle w:val="BodyText"/>
      </w:pPr>
      <w:r>
        <w:t xml:space="preserve">Furthermore, the administrator has been proactive in aligning the curriculum with the Florida Standards Assessment (FSA) requirements. Efforts to integrate bilingual education programs have been particularly effective, catering to the significant Spanish-speaking population in United States Miami. These initiatives have not only improved language proficiency but also enhanced overall academic performance among English Language Learners (ELLs).</w:t>
      </w:r>
    </w:p>
    <w:bookmarkEnd w:id="24"/>
    <w:bookmarkStart w:id="25" w:name="X39eb0dc792442d6f9e3a36c64535db4c3212d25"/>
    <w:p>
      <w:pPr>
        <w:pStyle w:val="Heading2"/>
      </w:pPr>
      <w:r>
        <w:t xml:space="preserve">5. Operational Management and Resource Allocation</w:t>
      </w:r>
    </w:p>
    <w:p>
      <w:pPr>
        <w:pStyle w:val="FirstParagraph"/>
      </w:pPr>
      <w:r>
        <w:t xml:space="preserve">From an operational standpoint, the Education Administrator has maintained a well-organized and efficient school environment. Financial management practices are sound, with budgets being utilized effectively to support educational priorities. The administrator has successfully secured several grants to fund extracurricular activities and technology upgrades, demonstrating strong grant-writing skills and strategic foresight.</w:t>
      </w:r>
    </w:p>
    <w:p>
      <w:pPr>
        <w:pStyle w:val="BodyText"/>
      </w:pPr>
      <w:r>
        <w:t xml:space="preserve">However, the peer review panel identified a need for improvement in the area of resource distribution. While overall management is strong, there are instances where resources are not equitably distributed across all departments. Addressing this imbalance is crucial to ensuring that all students, regardless of their program or grade level, have access to the necessary tools for success.</w:t>
      </w:r>
    </w:p>
    <w:bookmarkEnd w:id="25"/>
    <w:bookmarkStart w:id="26" w:name="X79b2687dc6505248788b31e2e52bc19bd491334"/>
    <w:p>
      <w:pPr>
        <w:pStyle w:val="Heading2"/>
      </w:pPr>
      <w:r>
        <w:t xml:space="preserve">6. Community Engagement and Stakeholder Relations</w:t>
      </w:r>
    </w:p>
    <w:p>
      <w:pPr>
        <w:pStyle w:val="FirstParagraph"/>
      </w:pPr>
      <w:r>
        <w:t xml:space="preserve">Community engagement is a cornerstone of effective educational administration, especially in a vibrant city like Miami. The Education Administrator has excelled in building strong relationships with parents, local businesses, and community organizations. Regular parent-teacher conferences, community forums, and cultural events have helped bridge the gap between the school and the surrounding community.</w:t>
      </w:r>
    </w:p>
    <w:p>
      <w:pPr>
        <w:pStyle w:val="BodyText"/>
      </w:pPr>
      <w:r>
        <w:t xml:space="preserve">The administrator's efforts to involve local businesses in internship programs and mentorship opportunities have been particularly commendable. These partnerships provide students with valuable real-world experiences and enhance the school's reputation within the United States Miami business community.</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of the Education Administrator is highly satisfactory, the peer review panel recommends focusing on the following areas for improvement:</w:t>
      </w:r>
    </w:p>
    <w:p>
      <w:pPr>
        <w:numPr>
          <w:ilvl w:val="0"/>
          <w:numId w:val="1001"/>
        </w:numPr>
        <w:pStyle w:val="Compact"/>
      </w:pPr>
      <w:r>
        <w:rPr>
          <w:bCs/>
          <w:b/>
        </w:rPr>
        <w:t xml:space="preserve">Technological Integration:</w:t>
      </w:r>
      <w:r>
        <w:t xml:space="preserve"> </w:t>
      </w:r>
      <w:r>
        <w:t xml:space="preserve">Accelerate the adoption of digital learning tools and ensure all staff are adequately trained to use them effectively.</w:t>
      </w:r>
    </w:p>
    <w:p>
      <w:pPr>
        <w:numPr>
          <w:ilvl w:val="0"/>
          <w:numId w:val="1001"/>
        </w:numPr>
        <w:pStyle w:val="Compact"/>
      </w:pPr>
      <w:r>
        <w:rPr>
          <w:bCs/>
          <w:b/>
        </w:rPr>
        <w:t xml:space="preserve">Equitable Resource Allocation:</w:t>
      </w:r>
      <w:r>
        <w:t xml:space="preserve"> </w:t>
      </w:r>
      <w:r>
        <w:t xml:space="preserve">Implement a more transparent and equitable system for distributing resources across all departments.</w:t>
      </w:r>
    </w:p>
    <w:p>
      <w:pPr>
        <w:numPr>
          <w:ilvl w:val="0"/>
          <w:numId w:val="1001"/>
        </w:numPr>
        <w:pStyle w:val="Compact"/>
      </w:pPr>
      <w:r>
        <w:rPr>
          <w:bCs/>
          <w:b/>
        </w:rPr>
        <w:t xml:space="preserve">Data-Driven Decision Making:</w:t>
      </w:r>
      <w:r>
        <w:t xml:space="preserve"> </w:t>
      </w:r>
      <w:r>
        <w:t xml:space="preserve">Enhance the use of data analytics to inform instructional strategies and identify at-risk students earlier.</w:t>
      </w:r>
    </w:p>
    <w:bookmarkEnd w:id="27"/>
    <w:bookmarkStart w:id="28" w:name="conclusion"/>
    <w:p>
      <w:pPr>
        <w:pStyle w:val="Heading2"/>
      </w:pPr>
      <w:r>
        <w:t xml:space="preserve">8. Conclusion</w:t>
      </w:r>
    </w:p>
    <w:p>
      <w:pPr>
        <w:pStyle w:val="FirstParagraph"/>
      </w:pPr>
      <w:r>
        <w:t xml:space="preserve">In conclusion, this Peer Review Report affirms that the Education Administrator is performing at a high level of professionalism and effectiveness. Their leadership has positively impacted the educational landscape in United States Miami, fostering an environment where students and staff can thrive. By addressing the identified areas for improvement, the administrator is well-positioned to continue driving excellence and innovation in the years to come.</w:t>
      </w:r>
    </w:p>
    <w:bookmarkEnd w:id="28"/>
    <w:p>
      <w:pPr>
        <w:pStyle w:val="BodyText"/>
      </w:pPr>
      <w:r>
        <w:rPr>
          <w:bCs/>
          <w:b/>
        </w:rPr>
        <w:t xml:space="preserve">Prepared by:</w:t>
      </w:r>
    </w:p>
    <w:p>
      <w:pPr>
        <w:pStyle w:val="BodyText"/>
      </w:pPr>
      <w:r>
        <w:t xml:space="preserve">Dr. Elena Rodriguez, Senior Peer Reviewer</w:t>
      </w:r>
    </w:p>
    <w:p>
      <w:pPr>
        <w:pStyle w:val="BodyText"/>
      </w:pPr>
      <w:r>
        <w:t xml:space="preserve">Mr. James Thompson, Educational Consultant</w:t>
      </w:r>
    </w:p>
    <w:p>
      <w:pPr>
        <w:pStyle w:val="BodyText"/>
      </w:pPr>
      <w:r>
        <w:t xml:space="preserve">Ms. Maria Garcia, District Administrator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