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Electrical Engineer</w:t>
      </w:r>
    </w:p>
    <w:p>
      <w:pPr>
        <w:pStyle w:val="BodyText"/>
      </w:pPr>
      <w:r>
        <w:rPr>
          <w:bCs/>
          <w:b/>
        </w:rPr>
        <w:t xml:space="preserve">Location:</w:t>
      </w:r>
      <w:r>
        <w:t xml:space="preserve"> </w:t>
      </w:r>
      <w:r>
        <w:t xml:space="preserve">Kuala Lumpur, Malaysia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Board of Engineers Malaysia (BEM) / Internal Engineering Management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a candidate Electrical Engineer operating within the dynamic infrastructure landscape of Kuala Lumpur, Malaysia. The review process adheres to the standards set by the Board of Engineers Malaysia (BEM) and aligns with international best practices for engineering competency. The primary objective is to determine the engineer's readiness for higher-level responsibilities, particularly in the context of complex urban electrical systems, renewable energy integration, and smart grid technologies prevalent in the Malaysian capital.</w:t>
      </w:r>
    </w:p>
    <w:p>
      <w:pPr>
        <w:pStyle w:val="BodyText"/>
      </w:pPr>
      <w:r>
        <w:t xml:space="preserve">The assessment covers a comprehensive analysis of the engineer's portfolio, including design documentation, site supervision records, and compliance with the Electricity Supply Act 1990 and relevant Malaysian Standards (MS). The findings indicate a strong foundation in electrical engineering principles, with specific strengths in power distribution and building services engineering.</w:t>
      </w:r>
    </w:p>
    <w:bookmarkEnd w:id="21"/>
    <w:bookmarkStart w:id="22" w:name="candidate-profile-and-scope-of-work"/>
    <w:p>
      <w:pPr>
        <w:pStyle w:val="Heading2"/>
      </w:pPr>
      <w:r>
        <w:t xml:space="preserve">2. Candidate Profile and Scope of Work</w:t>
      </w:r>
    </w:p>
    <w:p>
      <w:pPr>
        <w:pStyle w:val="FirstParagraph"/>
      </w:pPr>
      <w:r>
        <w:t xml:space="preserve">The subject of this review is a registered Electrical Engineer with over five years of experience in the Kuala Lumpur region. The scope of work reviewed includes the design and implementation of high-voltage substations, low-voltage distribution systems for commercial high-rises, and the integration of solar photovoltaic (PV) systems in accordance with the Net Energy Metering (NEM) framework in Malaysia.</w:t>
      </w:r>
    </w:p>
    <w:p>
      <w:pPr>
        <w:pStyle w:val="BodyText"/>
      </w:pPr>
      <w:r>
        <w:t xml:space="preserve">The review focuses on three key projects executed in Kuala Lumpur:</w:t>
      </w:r>
    </w:p>
    <w:p>
      <w:pPr>
        <w:numPr>
          <w:ilvl w:val="0"/>
          <w:numId w:val="1001"/>
        </w:numPr>
        <w:pStyle w:val="Compact"/>
      </w:pPr>
      <w:r>
        <w:t xml:space="preserve">Design of a 132kV/33kV Substation in the KL Tech Park.</w:t>
      </w:r>
    </w:p>
    <w:p>
      <w:pPr>
        <w:numPr>
          <w:ilvl w:val="0"/>
          <w:numId w:val="1001"/>
        </w:numPr>
        <w:pStyle w:val="Compact"/>
      </w:pPr>
      <w:r>
        <w:t xml:space="preserve">Electrical retrofitting of a Grade A office tower in Bukit Bintang.</w:t>
      </w:r>
    </w:p>
    <w:p>
      <w:pPr>
        <w:numPr>
          <w:ilvl w:val="0"/>
          <w:numId w:val="1001"/>
        </w:numPr>
        <w:pStyle w:val="Compact"/>
      </w:pPr>
      <w:r>
        <w:t xml:space="preserve">Implementation of a 500kW rooftop solar system for an industrial facility in Cheras.</w:t>
      </w:r>
    </w:p>
    <w:bookmarkEnd w:id="22"/>
    <w:bookmarkStart w:id="26" w:name="technical-competency-assessment"/>
    <w:p>
      <w:pPr>
        <w:pStyle w:val="Heading2"/>
      </w:pPr>
      <w:r>
        <w:t xml:space="preserve">3. Technical Competency Assessment</w:t>
      </w:r>
    </w:p>
    <w:bookmarkStart w:id="23" w:name="design-and-calculation-accuracy"/>
    <w:p>
      <w:pPr>
        <w:pStyle w:val="Heading3"/>
      </w:pPr>
      <w:r>
        <w:t xml:space="preserve">3.1 Design and Calculation Accuracy</w:t>
      </w:r>
    </w:p>
    <w:p>
      <w:pPr>
        <w:pStyle w:val="FirstParagraph"/>
      </w:pPr>
      <w:r>
        <w:t xml:space="preserve">The Electrical Engineer demonstrated exceptional accuracy in load flow studies and short-circuit calculations. The designs reviewed strictly adhered to MS IEC 60364 (Electrical Installations of Buildings) and TNB (Tenaga Nasional Berhad) supply requirements. The engineer’s ability to utilize advanced simulation software such as ETAP and AutoCAD Electrical was evident, ensuring that all thermal and dynamic stability criteria were met for the Kuala Lumpur grid conditions.</w:t>
      </w:r>
    </w:p>
    <w:bookmarkEnd w:id="23"/>
    <w:bookmarkStart w:id="24" w:name="compliance-and-regulatory-adherence"/>
    <w:p>
      <w:pPr>
        <w:pStyle w:val="Heading3"/>
      </w:pPr>
      <w:r>
        <w:t xml:space="preserve">3.2 Compliance and Regulatory Adherence</w:t>
      </w:r>
    </w:p>
    <w:p>
      <w:pPr>
        <w:pStyle w:val="FirstParagraph"/>
      </w:pPr>
      <w:r>
        <w:t xml:space="preserve">A critical aspect of engineering in Malaysia is compliance with local regulations. The candidate showed a thorough understanding of the Electricity Supply Act 1990 and the Occupational Safety and Health Act 1994 (OSHA). Documentation submitted for the Bukit Bintang project included all necessary approvals from the local authority (DBKL) and TNB, highlighting the engineer’s meticulous attention to regulatory procedures specific to Kuala Lumpur.</w:t>
      </w:r>
    </w:p>
    <w:bookmarkEnd w:id="24"/>
    <w:bookmarkStart w:id="25" w:name="innovation-and-sustainability"/>
    <w:p>
      <w:pPr>
        <w:pStyle w:val="Heading3"/>
      </w:pPr>
      <w:r>
        <w:t xml:space="preserve">3.3 Innovation and Sustainability</w:t>
      </w:r>
    </w:p>
    <w:p>
      <w:pPr>
        <w:pStyle w:val="FirstParagraph"/>
      </w:pPr>
      <w:r>
        <w:t xml:space="preserve">The engineer actively incorporated sustainable practices into their designs. The solar PV project in Cheras was particularly notable for its efficient use of space and integration with the existing grid, contributing to Malaysia’s national renewable energy targets. The proposal included energy storage solutions to mitigate intermittency, showcasing forward-thinking engineering aligned with the Smart City initiatives in Kuala Lumpur.</w:t>
      </w:r>
    </w:p>
    <w:bookmarkEnd w:id="25"/>
    <w:bookmarkEnd w:id="26"/>
    <w:bookmarkStart w:id="27" w:name="X09889f5b048c2820cfcf3582a1803d45531b4c9"/>
    <w:p>
      <w:pPr>
        <w:pStyle w:val="Heading2"/>
      </w:pPr>
      <w:r>
        <w:t xml:space="preserve">4. Professional Conduct and Project Management</w:t>
      </w:r>
    </w:p>
    <w:p>
      <w:pPr>
        <w:pStyle w:val="FirstParagraph"/>
      </w:pPr>
      <w:r>
        <w:t xml:space="preserve">Beyond technical skills, the Peer Review Report evaluates the engineer’s professional behavior. The candidate exhibited strong leadership during site inspections, effectively coordinating between contractors, consultants, and utility providers. Communication skills were rated highly, with clear and concise reporting in both English and Bahasa Malaysia, facilitating smooth interactions with diverse stakeholders in Kuala Lumpur.</w:t>
      </w:r>
    </w:p>
    <w:p>
      <w:pPr>
        <w:pStyle w:val="BodyText"/>
      </w:pPr>
      <w:r>
        <w:t xml:space="preserve">Project management capabilities were assessed based on adherence to timelines and budgets. The engineer successfully delivered the substation project two weeks ahead of schedule without compromising safety or quality. Risk management strategies were well-documented, particularly regarding the challenges of working in a densely populated urban environment like Kuala Lumpur.</w:t>
      </w:r>
    </w:p>
    <w:bookmarkEnd w:id="27"/>
    <w:bookmarkStart w:id="28" w:name="areas-for-improvement"/>
    <w:p>
      <w:pPr>
        <w:pStyle w:val="Heading2"/>
      </w:pPr>
      <w:r>
        <w:t xml:space="preserve">5. Areas for Improvement</w:t>
      </w:r>
    </w:p>
    <w:p>
      <w:pPr>
        <w:pStyle w:val="FirstParagraph"/>
      </w:pPr>
      <w:r>
        <w:t xml:space="preserve">While the overall performance is commendable, the review identified a few areas for development:</w:t>
      </w:r>
    </w:p>
    <w:p>
      <w:pPr>
        <w:numPr>
          <w:ilvl w:val="0"/>
          <w:numId w:val="1002"/>
        </w:numPr>
        <w:pStyle w:val="Compact"/>
      </w:pPr>
      <w:r>
        <w:rPr>
          <w:bCs/>
          <w:b/>
        </w:rPr>
        <w:t xml:space="preserve">Advanced Automation:</w:t>
      </w:r>
      <w:r>
        <w:t xml:space="preserve"> </w:t>
      </w:r>
      <w:r>
        <w:t xml:space="preserve">The engineer should deepen their expertise in SCADA systems and IoT-based monitoring for smart grid applications.</w:t>
      </w:r>
    </w:p>
    <w:p>
      <w:pPr>
        <w:numPr>
          <w:ilvl w:val="0"/>
          <w:numId w:val="1002"/>
        </w:numPr>
        <w:pStyle w:val="Compact"/>
      </w:pPr>
      <w:r>
        <w:rPr>
          <w:bCs/>
          <w:b/>
        </w:rPr>
        <w:t xml:space="preserve">Cost Optimization:</w:t>
      </w:r>
      <w:r>
        <w:t xml:space="preserve"> </w:t>
      </w:r>
      <w:r>
        <w:t xml:space="preserve">Further refinement in value engineering techniques could lead to more cost-effective solutions without sacrificing performance.</w:t>
      </w:r>
    </w:p>
    <w:p>
      <w:pPr>
        <w:numPr>
          <w:ilvl w:val="0"/>
          <w:numId w:val="1002"/>
        </w:numPr>
        <w:pStyle w:val="Compact"/>
      </w:pPr>
      <w:r>
        <w:rPr>
          <w:bCs/>
          <w:b/>
        </w:rPr>
        <w:t xml:space="preserve">Documentation Standardization:</w:t>
      </w:r>
      <w:r>
        <w:t xml:space="preserve"> </w:t>
      </w:r>
      <w:r>
        <w:t xml:space="preserve">While compliant, some design documents lacked a uniform template, which could be improved for better consistency across projects.</w:t>
      </w:r>
    </w:p>
    <w:bookmarkEnd w:id="28"/>
    <w:bookmarkStart w:id="29" w:name="conclusion-and-recommendation"/>
    <w:p>
      <w:pPr>
        <w:pStyle w:val="Heading2"/>
      </w:pPr>
      <w:r>
        <w:t xml:space="preserve">6. Conclusion and Recommendation</w:t>
      </w:r>
    </w:p>
    <w:p>
      <w:pPr>
        <w:pStyle w:val="FirstParagraph"/>
      </w:pPr>
      <w:r>
        <w:t xml:space="preserve">Based on the comprehensive evaluation conducted in this Peer Review Report, the Electrical Engineer has demonstrated a high level of competence, professionalism, and dedication to their field. Their work significantly contributes to the reliability and sustainability of electrical infrastructure in Kuala Lumpur, Malaysia. The candidate’s adherence to Malaysian Standards and regulatory frameworks is exemplary.</w:t>
      </w:r>
    </w:p>
    <w:p>
      <w:pPr>
        <w:pStyle w:val="BodyText"/>
      </w:pPr>
      <w:r>
        <w:t xml:space="preserve">It is recommended that the engineer be approved for the next level of professional responsibility, including the potential to lead larger, multi-disciplinary engineering projects. Continued professional development in automation and smart grid technologies is encouraged to further enhance their capabilities.</w:t>
      </w:r>
    </w:p>
    <w:bookmarkEnd w:id="29"/>
    <w:bookmarkStart w:id="30"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Ahmad Razak</w:t>
            </w:r>
          </w:p>
        </w:tc>
        <w:tc>
          <w:tcPr/>
          <w:p>
            <w:pPr>
              <w:pStyle w:val="Compact"/>
              <w:jc w:val="left"/>
            </w:pPr>
            <w:r>
              <w:t xml:space="preserve">Senior Peer Reviewer</w:t>
            </w:r>
          </w:p>
        </w:tc>
        <w:tc>
          <w:tcPr/>
          <w:p>
            <w:pPr>
              <w:pStyle w:val="Compact"/>
              <w:jc w:val="left"/>
            </w:pPr>
            <w:r>
              <w:t xml:space="preserve">____________________</w:t>
            </w:r>
          </w:p>
        </w:tc>
        <w:tc>
          <w:tcPr/>
          <w:p>
            <w:pPr>
              <w:pStyle w:val="Compact"/>
              <w:jc w:val="left"/>
            </w:pPr>
            <w:r>
              <w:t xml:space="preserve">Oct 24, 2023</w:t>
            </w:r>
          </w:p>
        </w:tc>
      </w:tr>
      <w:tr>
        <w:tc>
          <w:tcPr/>
          <w:p>
            <w:pPr>
              <w:pStyle w:val="Compact"/>
              <w:jc w:val="left"/>
            </w:pPr>
            <w:r>
              <w:t xml:space="preserve">Ms. Lim Wei Ling</w:t>
            </w:r>
          </w:p>
        </w:tc>
        <w:tc>
          <w:tcPr/>
          <w:p>
            <w:pPr>
              <w:pStyle w:val="Compact"/>
              <w:jc w:val="left"/>
            </w:pPr>
            <w:r>
              <w:t xml:space="preserve">Engineering Manager</w:t>
            </w:r>
          </w:p>
        </w:tc>
        <w:tc>
          <w:tcPr/>
          <w:p>
            <w:pPr>
              <w:pStyle w:val="Compact"/>
              <w:jc w:val="left"/>
            </w:pPr>
            <w:r>
              <w:t xml:space="preserve">____________________</w:t>
            </w:r>
          </w:p>
        </w:tc>
        <w:tc>
          <w:tcPr/>
          <w:p>
            <w:pPr>
              <w:pStyle w:val="Compact"/>
              <w:jc w:val="left"/>
            </w:pPr>
            <w:r>
              <w:t xml:space="preserve">Oct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Kuala Lumpur, Malaysia</dc:title>
  <dc:creator/>
  <dc:language>en</dc:language>
  <cp:keywords/>
  <dcterms:created xsi:type="dcterms:W3CDTF">2026-10-10T03:50:08Z</dcterms:created>
  <dcterms:modified xsi:type="dcterms:W3CDTF">2026-10-10T03:50:08Z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