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Technical Competency and Professional Conduct Assessment</w:t>
      </w:r>
    </w:p>
    <w:bookmarkEnd w:id="20"/>
    <w:p>
      <w:pPr>
        <w:pStyle w:val="BodyText"/>
      </w:pPr>
      <w:r>
        <w:rPr>
          <w:bCs/>
          <w:b/>
        </w:rPr>
        <w:t xml:space="preserve">Subject Role:</w:t>
      </w:r>
      <w:r>
        <w:t xml:space="preserve"> </w:t>
      </w:r>
      <w:r>
        <w:t xml:space="preserve">Senior Electronics Engineer</w:t>
      </w:r>
    </w:p>
    <w:p>
      <w:pPr>
        <w:pStyle w:val="BodyText"/>
      </w:pPr>
      <w:r>
        <w:rPr>
          <w:bCs/>
          <w:b/>
        </w:rPr>
        <w:t xml:space="preserve">Review Period:</w:t>
      </w:r>
      <w:r>
        <w:t xml:space="preserve"> </w:t>
      </w:r>
      <w:r>
        <w:t xml:space="preserve">Q3 2023 - Q2 2024</w:t>
      </w:r>
    </w:p>
    <w:p>
      <w:pPr>
        <w:pStyle w:val="BodyText"/>
      </w:pPr>
      <w:r>
        <w:rPr>
          <w:bCs/>
          <w:b/>
        </w:rPr>
        <w:t xml:space="preserve">Location:</w:t>
      </w:r>
      <w:r>
        <w:t xml:space="preserve"> </w:t>
      </w:r>
      <w:r>
        <w:t xml:space="preserve">Japan Osaka (Umeda R&amp;D Center)</w:t>
      </w:r>
    </w:p>
    <w:p>
      <w:pPr>
        <w:pStyle w:val="BodyText"/>
      </w:pPr>
      <w:r>
        <w:rPr>
          <w:bCs/>
          <w:b/>
        </w:rPr>
        <w:t xml:space="preserve">Reviewer:</w:t>
      </w:r>
      <w:r>
        <w:t xml:space="preserve"> </w:t>
      </w:r>
      <w:r>
        <w:t xml:space="preserve">Lead Systems Architect</w:t>
      </w:r>
    </w:p>
    <w:p>
      <w:pPr>
        <w:pStyle w:val="BodyText"/>
      </w:pPr>
      <w:r>
        <w:rPr>
          <w:bCs/>
          <w:b/>
        </w:rPr>
        <w:t xml:space="preserve">Date of Report:</w:t>
      </w:r>
      <w:r>
        <w:t xml:space="preserve"> </w:t>
      </w:r>
      <w:r>
        <w:t xml:space="preserve">October 24, 2024</w:t>
      </w:r>
    </w:p>
    <w:p>
      <w:pPr>
        <w:pStyle w:val="BodyText"/>
      </w:pPr>
      <w:r>
        <w:rPr>
          <w:bCs/>
          <w:b/>
        </w:rPr>
        <w:t xml:space="preserve">Department:</w:t>
      </w:r>
      <w:r>
        <w:t xml:space="preserve"> </w:t>
      </w:r>
      <w:r>
        <w:t xml:space="preserve">Embedded Systems &amp; IoT Division</w:t>
      </w:r>
    </w:p>
    <w:bookmarkStart w:id="21" w:name="executive-summary"/>
    <w:p>
      <w:pPr>
        <w:pStyle w:val="Heading2"/>
      </w:pPr>
      <w:r>
        <w:t xml:space="preserve">1. Executive Summary</w:t>
      </w:r>
    </w:p>
    <w:p>
      <w:pPr>
        <w:pStyle w:val="FirstParagraph"/>
      </w:pPr>
      <w:r>
        <w:t xml:space="preserve">This Peer Review Report serves as a comprehensive evaluation of the subject Electronics Engineer’s performance, technical proficiency, and cultural integration within our Japan Osaka operations. The review focuses on the engineer's contributions to the development of next-generation embedded control systems for industrial automation. Over the past twelve months, the engineer has demonstrated a high level of technical acumen, particularly in mixed-signal circuit design and firmware optimization. This document details specific achievements, areas for improvement, and the engineer's alignment with the rigorous standards expected in the Japanese engineering sector.</w:t>
      </w:r>
    </w:p>
    <w:bookmarkEnd w:id="21"/>
    <w:bookmarkStart w:id="23" w:name="X392e5d1d64edbce8c9b4b730794e47d2e5cae64"/>
    <w:p>
      <w:pPr>
        <w:pStyle w:val="Heading2"/>
      </w:pPr>
      <w:r>
        <w:t xml:space="preserve">2. Technical Competency and Project Execution</w:t>
      </w:r>
    </w:p>
    <w:p>
      <w:pPr>
        <w:pStyle w:val="FirstParagraph"/>
      </w:pPr>
      <w:r>
        <w:t xml:space="preserve">The core of this assessment evaluates the Electronics Engineer's ability to deliver complex hardware solutions. The subject has been instrumental in the "Project Kansai" initiative, which aims to reduce power consumption in motor control units by 15%. The engineer successfully redesigned the power management IC (PMIC) interface, utilizing advanced switching regulator topologies that met the stringent efficiency targets.</w:t>
      </w:r>
    </w:p>
    <w:p>
      <w:pPr>
        <w:pStyle w:val="BodyText"/>
      </w:pPr>
      <w:r>
        <w:t xml:space="preserve">Furthermore, the engineer's proficiency in PCB layout using Altium Designer has been exemplary. The recent submission of the 4-layer high-speed digital board demonstrated a deep understanding of signal integrity principles, including impedance matching and differential pair routing. This was critical for maintaining data integrity in our high-frequency communication modules. The successful first-pass yield during the prototype manufacturing phase in Osaka highlights the engineer's attention to detail and manufacturability considerations (DFM).</w:t>
      </w:r>
    </w:p>
    <w:bookmarkStart w:id="22" w:name="key-technical-achievements"/>
    <w:p>
      <w:pPr>
        <w:pStyle w:val="Heading3"/>
      </w:pPr>
      <w:r>
        <w:t xml:space="preserve">Key Technical Achievements:</w:t>
      </w:r>
    </w:p>
    <w:p>
      <w:pPr>
        <w:numPr>
          <w:ilvl w:val="0"/>
          <w:numId w:val="1001"/>
        </w:numPr>
        <w:pStyle w:val="Compact"/>
      </w:pPr>
      <w:r>
        <w:t xml:space="preserve">Optimized firmware for ARM Cortex-M4 microcontrollers, reducing interrupt latency by 20%.</w:t>
      </w:r>
    </w:p>
    <w:p>
      <w:pPr>
        <w:numPr>
          <w:ilvl w:val="0"/>
          <w:numId w:val="1001"/>
        </w:numPr>
        <w:pStyle w:val="Compact"/>
      </w:pPr>
      <w:r>
        <w:t xml:space="preserve">Implemented robust EMI/EMC filtering strategies, ensuring compliance with Japanese VCCI standards.</w:t>
      </w:r>
    </w:p>
    <w:p>
      <w:pPr>
        <w:numPr>
          <w:ilvl w:val="0"/>
          <w:numId w:val="1001"/>
        </w:numPr>
        <w:pStyle w:val="Compact"/>
      </w:pPr>
      <w:r>
        <w:t xml:space="preserve">Collaborated effectively with local component suppliers in the Osaka region to secure critical semiconductor inventory during global shortages.</w:t>
      </w:r>
    </w:p>
    <w:bookmarkEnd w:id="22"/>
    <w:bookmarkEnd w:id="23"/>
    <w:bookmarkStart w:id="24" w:name="X620f8b752c1ce1584cafbf2ba1f872909a4cb1f"/>
    <w:p>
      <w:pPr>
        <w:pStyle w:val="Heading2"/>
      </w:pPr>
      <w:r>
        <w:t xml:space="preserve">3. Professional Conduct and Cultural Integration</w:t>
      </w:r>
    </w:p>
    <w:p>
      <w:pPr>
        <w:pStyle w:val="FirstParagraph"/>
      </w:pPr>
      <w:r>
        <w:t xml:space="preserve">Working as an Electronics Engineer in Japan Osaka requires not only technical skill but also a strong understanding of local business etiquette and workplace culture. The subject has shown commendable progress in adapting to the Japanese professional environment. The concept of "Nemawashi" (laying the groundwork for decision-making) has been embraced, with the engineer actively consulting stakeholders before proposing major design changes.</w:t>
      </w:r>
    </w:p>
    <w:p>
      <w:pPr>
        <w:pStyle w:val="BodyText"/>
      </w:pPr>
      <w:r>
        <w:t xml:space="preserve">Communication within the team has been clear and respectful. The engineer participates actively in daily stand-up meetings and weekly technical reviews. While the Japanese language proficiency is currently at an intermediate level (JLPT N3 equivalent), the engineer makes a concerted effort to use technical Japanese terminology correctly during meetings, which fosters better rapport with local senior engineers. Punctuality and adherence to deadlines have been flawless, reflecting the high value placed on reliability in our Osaka office.</w:t>
      </w:r>
    </w:p>
    <w:bookmarkEnd w:id="24"/>
    <w:bookmarkStart w:id="25" w:name="collaboration-and-teamwork"/>
    <w:p>
      <w:pPr>
        <w:pStyle w:val="Heading2"/>
      </w:pPr>
      <w:r>
        <w:t xml:space="preserve">4. Collaboration and Teamwork</w:t>
      </w:r>
    </w:p>
    <w:p>
      <w:pPr>
        <w:pStyle w:val="FirstParagraph"/>
      </w:pPr>
      <w:r>
        <w:t xml:space="preserve">The Electronics Engineer has demonstrated strong collaborative skills, bridging the gap between hardware design and software development teams. In a recent cross-functional project, the engineer worked closely with mechanical engineers to optimize thermal management solutions for enclosed devices. This interdisciplinary approach resulted in a more compact form factor without compromising thermal performance.</w:t>
      </w:r>
    </w:p>
    <w:p>
      <w:pPr>
        <w:pStyle w:val="BodyText"/>
      </w:pPr>
      <w:r>
        <w:t xml:space="preserve">Additionally, the engineer has taken on a mentorship role for two junior engineers recently hired in Osaka. By conducting regular code reviews and schematic checks, the subject has helped accelerate the onboarding process and ensured that team standards remain high. This willingness to share knowledge aligns perfectly with the collective success mindset prevalent in Japanese corporate culture.</w:t>
      </w:r>
    </w:p>
    <w:bookmarkEnd w:id="25"/>
    <w:bookmarkStart w:id="26" w:name="areas-for-improvement"/>
    <w:p>
      <w:pPr>
        <w:pStyle w:val="Heading2"/>
      </w:pPr>
      <w:r>
        <w:t xml:space="preserve">5. Areas for Improvement</w:t>
      </w:r>
    </w:p>
    <w:p>
      <w:pPr>
        <w:pStyle w:val="FirstParagraph"/>
      </w:pPr>
      <w:r>
        <w:t xml:space="preserve">Despite the strong performance, there are specific areas where the Electronics Engineer can further develop to reach the next level of seniority.</w:t>
      </w:r>
    </w:p>
    <w:p>
      <w:pPr>
        <w:numPr>
          <w:ilvl w:val="0"/>
          <w:numId w:val="1002"/>
        </w:numPr>
        <w:pStyle w:val="Compact"/>
      </w:pPr>
      <w:r>
        <w:rPr>
          <w:bCs/>
          <w:b/>
        </w:rPr>
        <w:t xml:space="preserve">Language Proficiency:</w:t>
      </w:r>
      <w:r>
        <w:t xml:space="preserve"> </w:t>
      </w:r>
      <w:r>
        <w:t xml:space="preserve">While technical communication is effective, improving general business Japanese would enhance the engineer's ability to navigate non-technical meetings and build deeper relationships with clients visiting the Osaka office.</w:t>
      </w:r>
    </w:p>
    <w:p>
      <w:pPr>
        <w:numPr>
          <w:ilvl w:val="0"/>
          <w:numId w:val="1002"/>
        </w:numPr>
        <w:pStyle w:val="Compact"/>
      </w:pPr>
      <w:r>
        <w:rPr>
          <w:bCs/>
          <w:b/>
        </w:rPr>
        <w:t xml:space="preserve">Documentation Standards:</w:t>
      </w:r>
      <w:r>
        <w:t xml:space="preserve"> </w:t>
      </w:r>
      <w:r>
        <w:t xml:space="preserve">Although technical designs are sound, the documentation occasionally lacks the exhaustive detail preferred in Japanese engineering records. Adhering more strictly to the company's "Kaizen" documentation protocols will ensure better long-term maintainability.</w:t>
      </w:r>
    </w:p>
    <w:p>
      <w:pPr>
        <w:numPr>
          <w:ilvl w:val="0"/>
          <w:numId w:val="1002"/>
        </w:numPr>
        <w:pStyle w:val="Compact"/>
      </w:pPr>
      <w:r>
        <w:rPr>
          <w:bCs/>
          <w:b/>
        </w:rPr>
        <w:t xml:space="preserve">Proactive Risk Management:</w:t>
      </w:r>
      <w:r>
        <w:t xml:space="preserve"> </w:t>
      </w:r>
      <w:r>
        <w:t xml:space="preserve">The engineer should focus on identifying potential supply chain risks earlier in the design phase, particularly regarding single-source components common in the Asian market.</w:t>
      </w:r>
    </w:p>
    <w:bookmarkEnd w:id="26"/>
    <w:bookmarkStart w:id="27" w:name="overall-rating"/>
    <w:p>
      <w:pPr>
        <w:pStyle w:val="Heading2"/>
      </w:pPr>
      <w:r>
        <w:t xml:space="preserve">6. Overall Rating</w:t>
      </w:r>
    </w:p>
    <w:p>
      <w:pPr>
        <w:pStyle w:val="FirstParagraph"/>
      </w:pPr>
      <w:r>
        <w:t xml:space="preserve">Technical Expertise</w:t>
      </w:r>
      <w:r>
        <w:t xml:space="preserve"> </w:t>
      </w:r>
      <w:r>
        <w:t xml:space="preserve">4.8 / 5.0</w:t>
      </w:r>
    </w:p>
    <w:p>
      <w:pPr>
        <w:pStyle w:val="BodyText"/>
      </w:pPr>
      <w:r>
        <w:t xml:space="preserve">Project Delivery</w:t>
      </w:r>
      <w:r>
        <w:t xml:space="preserve"> </w:t>
      </w:r>
      <w:r>
        <w:t xml:space="preserve">4.5 / 5.0</w:t>
      </w:r>
    </w:p>
    <w:p>
      <w:pPr>
        <w:pStyle w:val="BodyText"/>
      </w:pPr>
      <w:r>
        <w:t xml:space="preserve">Cultural Adaptation (Japan Osaka)</w:t>
      </w:r>
      <w:r>
        <w:t xml:space="preserve"> </w:t>
      </w:r>
      <w:r>
        <w:t xml:space="preserve">4.2 / 5.0</w:t>
      </w:r>
    </w:p>
    <w:p>
      <w:pPr>
        <w:pStyle w:val="BodyText"/>
      </w:pPr>
      <w:r>
        <w:t xml:space="preserve">Team Collaboration</w:t>
      </w:r>
      <w:r>
        <w:t xml:space="preserve"> </w:t>
      </w:r>
      <w:r>
        <w:t xml:space="preserve">4.7 / 5.0</w:t>
      </w:r>
    </w:p>
    <w:p>
      <w:pPr>
        <w:pStyle w:val="BodyText"/>
      </w:pPr>
      <w:r>
        <w:t xml:space="preserve">Overall Performance</w:t>
      </w:r>
      <w:r>
        <w:t xml:space="preserve"> </w:t>
      </w:r>
      <w:r>
        <w:t xml:space="preserve">4.6 / 5.0</w:t>
      </w:r>
    </w:p>
    <w:bookmarkEnd w:id="27"/>
    <w:bookmarkStart w:id="28" w:name="conclusion"/>
    <w:p>
      <w:pPr>
        <w:pStyle w:val="Heading2"/>
      </w:pPr>
      <w:r>
        <w:t xml:space="preserve">7. Conclusion</w:t>
      </w:r>
    </w:p>
    <w:p>
      <w:pPr>
        <w:pStyle w:val="FirstParagraph"/>
      </w:pPr>
      <w:r>
        <w:t xml:space="preserve">In conclusion, this Peer Review Report confirms that the subject Electronics Engineer is a valuable asset to our Japan Osaka team. Their technical contributions to our embedded systems portfolio have been significant, and their respectful integration into the local workplace culture sets a positive example for international staff. With continued focus on language skills and documentation rigor, the engineer is well-positioned for promotion to a Lead Engineer role within the next fiscal year.</w:t>
      </w:r>
    </w:p>
    <w:p>
      <w:pPr>
        <w:pStyle w:val="BodyText"/>
      </w:pPr>
      <w:r>
        <w:rPr>
          <w:bCs/>
          <w:b/>
        </w:rPr>
        <w:t xml:space="preserve">Reviewer Signature:</w:t>
      </w:r>
    </w:p>
    <w:p>
      <w:pPr>
        <w:pStyle w:val="BodyText"/>
      </w:pPr>
      <w:r>
        <w:t xml:space="preserve">Takeshi Yamamoto</w:t>
      </w:r>
      <w:r>
        <w:br/>
      </w:r>
      <w:r>
        <w:t xml:space="preserve">Lead Systems Architect</w:t>
      </w:r>
    </w:p>
    <w:p>
      <w:pPr>
        <w:pStyle w:val="BodyText"/>
      </w:pPr>
      <w:r>
        <w:rPr>
          <w:bCs/>
          <w:b/>
        </w:rPr>
        <w:t xml:space="preserve">Subject Acknowledgement:</w:t>
      </w:r>
    </w:p>
    <w:p>
      <w:pPr>
        <w:pStyle w:val="BodyText"/>
      </w:pPr>
      <w:r>
        <w:t xml:space="preserve">[Employee Name]</w:t>
      </w:r>
      <w:r>
        <w:br/>
      </w:r>
      <w:r>
        <w:t xml:space="preserve">Electronics Engineer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Japan Osaka</dc:title>
  <dc:creator/>
  <dc:language>en</dc:language>
  <cp:keywords/>
  <dcterms:created xsi:type="dcterms:W3CDTF">2026-10-10T02:31:56Z</dcterms:created>
  <dcterms:modified xsi:type="dcterms:W3CDTF">2026-10-10T02:31:56Z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