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Competency and Project Performance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project contributions of the designated Electronics Engineer operating within the industrial and technological sector of Tashkent, Uzbekistan. The review process was conducted by a panel of senior engineering peers and technical managers to ensure an objective assessment of the engineer's capabilities. The primary objective of this document is to provide a comprehensive analysis of the engineer's adherence to international engineering standards, their ability to innovate within the local context of Uzbekistan's growing tech ecosystem, and their effectiveness in delivering high-quality electronic systems.</w:t>
      </w:r>
    </w:p>
    <w:p>
      <w:pPr>
        <w:pStyle w:val="BodyText"/>
      </w:pPr>
      <w:r>
        <w:t xml:space="preserve">The assessment covers a review period of twelve months, focusing on circuit design, embedded systems development, hardware testing, and cross-functional collaboration. The findings indicate a strong alignment with the strategic goals of modernizing electronic infrastructure in Tashkent, with specific commendations for reliability engineering and cost-effective design solutions.</w:t>
      </w:r>
    </w:p>
    <w:bookmarkEnd w:id="21"/>
    <w:bookmarkStart w:id="24" w:name="technical-competency-assessment"/>
    <w:p>
      <w:pPr>
        <w:pStyle w:val="Heading2"/>
      </w:pPr>
      <w:r>
        <w:t xml:space="preserve">2. Technical Competency Assessment</w:t>
      </w:r>
    </w:p>
    <w:bookmarkStart w:id="22" w:name="circuit-design-and-schematic-development"/>
    <w:p>
      <w:pPr>
        <w:pStyle w:val="Heading3"/>
      </w:pPr>
      <w:r>
        <w:t xml:space="preserve">2.1 Circuit Design and Schematic Development</w:t>
      </w:r>
    </w:p>
    <w:p>
      <w:pPr>
        <w:pStyle w:val="FirstParagraph"/>
      </w:pPr>
      <w:r>
        <w:t xml:space="preserve">The Electronics Engineer demonstrated exceptional proficiency in schematic capture and PCB layout design. During the review period, the engineer successfully led the design of several mixed-signal circuits intended for industrial automation applications prevalent in the Tashkent manufacturing sector. The designs exhibited a deep understanding of signal integrity, power distribution networks, and electromagnetic compatibility (EMC).</w:t>
      </w:r>
    </w:p>
    <w:p>
      <w:pPr>
        <w:pStyle w:val="BodyText"/>
      </w:pPr>
      <w:r>
        <w:t xml:space="preserve">Notably, the engineer adapted design methodologies to account for local environmental conditions in Uzbekistan, such as temperature fluctuations and power grid instability. This proactive approach resulted in robust hardware solutions that minimized failure rates in field deployments. The use of industry-standard tools, including Altium Designer and KiCad, was executed with precision, ensuring that all deliverables met the rigorous documentation standards required for mass production.</w:t>
      </w:r>
    </w:p>
    <w:bookmarkEnd w:id="22"/>
    <w:bookmarkStart w:id="23" w:name="X536a5a8d03265f400497565e0170df71fe86940"/>
    <w:p>
      <w:pPr>
        <w:pStyle w:val="Heading3"/>
      </w:pPr>
      <w:r>
        <w:t xml:space="preserve">2.2 Embedded Systems and Firmware Integration</w:t>
      </w:r>
    </w:p>
    <w:p>
      <w:pPr>
        <w:pStyle w:val="FirstParagraph"/>
      </w:pPr>
      <w:r>
        <w:t xml:space="preserve">A critical aspect of the role involves the integration of hardware with embedded software. The engineer displayed advanced skills in microcontroller programming, specifically utilizing ARM Cortex-M architectures and ESP32 platforms. The peer review panel observed that the firmware developed was optimized for low-power consumption, a crucial factor for IoT devices being deployed across Tashkent's smart city initiatives.</w:t>
      </w:r>
    </w:p>
    <w:p>
      <w:pPr>
        <w:pStyle w:val="BodyText"/>
      </w:pPr>
      <w:r>
        <w:t xml:space="preserve">The engineer's ability to debug complex hardware-software interactions was particularly noteworthy. By implementing systematic testing protocols, the engineer reduced the time-to-market for new electronic modules by approximately 15%. This efficiency directly supports the rapid technological advancement goals of the region.</w:t>
      </w:r>
    </w:p>
    <w:bookmarkEnd w:id="23"/>
    <w:bookmarkEnd w:id="24"/>
    <w:bookmarkStart w:id="27" w:name="project-management-and-collaboration"/>
    <w:p>
      <w:pPr>
        <w:pStyle w:val="Heading2"/>
      </w:pPr>
      <w:r>
        <w:t xml:space="preserve">3. Project Management and Collaboration</w:t>
      </w:r>
    </w:p>
    <w:bookmarkStart w:id="25" w:name="cross-functional-teamwork"/>
    <w:p>
      <w:pPr>
        <w:pStyle w:val="Heading3"/>
      </w:pPr>
      <w:r>
        <w:t xml:space="preserve">3.1 Cross-Functional Teamwork</w:t>
      </w:r>
    </w:p>
    <w:p>
      <w:pPr>
        <w:pStyle w:val="FirstParagraph"/>
      </w:pPr>
      <w:r>
        <w:t xml:space="preserve">Effective collaboration is essential for the success of electronics projects. The engineer actively participated in multidisciplinary teams, working closely with mechanical engineers, software developers, and supply chain managers. In the context of Tashkent's collaborative industrial environment, the engineer facilitated clear communication between technical and non-technical stakeholders, ensuring that project requirements were accurately translated into engineering specifications.</w:t>
      </w:r>
    </w:p>
    <w:p>
      <w:pPr>
        <w:pStyle w:val="BodyText"/>
      </w:pPr>
      <w:r>
        <w:t xml:space="preserve">The engineer also played a key role in mentoring junior staff, fostering a culture of continuous learning and technical excellence within the department. This leadership quality is vital for building a sustainable engineering workforce in Uzbekistan.</w:t>
      </w:r>
    </w:p>
    <w:bookmarkEnd w:id="25"/>
    <w:bookmarkStart w:id="26" w:name="supply-chain-and-component-sourcing"/>
    <w:p>
      <w:pPr>
        <w:pStyle w:val="Heading3"/>
      </w:pPr>
      <w:r>
        <w:t xml:space="preserve">3.2 Supply Chain and Component Sourcing</w:t>
      </w:r>
    </w:p>
    <w:p>
      <w:pPr>
        <w:pStyle w:val="FirstParagraph"/>
      </w:pPr>
      <w:r>
        <w:t xml:space="preserve">Given the global challenges in semiconductor availability, the engineer demonstrated strategic foresight in component selection. By identifying alternative parts and establishing relationships with local suppliers in Tashkent, the engineer mitigated supply chain risks. This adaptability ensured that project timelines were maintained without compromising on quality or performance standards.</w:t>
      </w:r>
    </w:p>
    <w:bookmarkEnd w:id="26"/>
    <w:bookmarkEnd w:id="27"/>
    <w:bookmarkStart w:id="28" w:name="compliance-and-safety-standards"/>
    <w:p>
      <w:pPr>
        <w:pStyle w:val="Heading2"/>
      </w:pPr>
      <w:r>
        <w:t xml:space="preserve">4. Compliance and Safety Standards</w:t>
      </w:r>
    </w:p>
    <w:p>
      <w:pPr>
        <w:pStyle w:val="FirstParagraph"/>
      </w:pPr>
      <w:r>
        <w:t xml:space="preserve">Adherence to safety and regulatory standards is paramount in electronics engineering. The engineer consistently ensured that all designs complied with relevant international standards, including IEC and ISO guidelines, as well as local regulations applicable in Uzbekistan. Rigorous testing procedures were implemented to verify electrical safety, thermal performance, and environmental resilience.</w:t>
      </w:r>
    </w:p>
    <w:p>
      <w:pPr>
        <w:pStyle w:val="BodyText"/>
      </w:pPr>
      <w:r>
        <w:t xml:space="preserve">The engineer's commitment to compliance was evident in the successful certification of multiple products, which facilitated their entry into both domestic and international markets. This achievement underscores the engineer's ability to navigate complex regulatory landscapes while delivering innovative solutions.</w:t>
      </w:r>
    </w:p>
    <w:bookmarkEnd w:id="28"/>
    <w:bookmarkStart w:id="29" w:name="areas-for-improvement"/>
    <w:p>
      <w:pPr>
        <w:pStyle w:val="Heading2"/>
      </w:pPr>
      <w:r>
        <w:t xml:space="preserve">5. Areas for Improvement</w:t>
      </w:r>
    </w:p>
    <w:p>
      <w:pPr>
        <w:pStyle w:val="FirstParagraph"/>
      </w:pPr>
      <w:r>
        <w:t xml:space="preserve">While the overall performance of the Electronics Engineer is highly commendable, the peer review panel identified a few areas for potential growth. First, there is an opportunity to further enhance documentation practices by adopting more standardized templates for design reviews and test reports. Second, increasing involvement in emerging technologies, such as AI-driven hardware optimization, could further elevate the engineer's contributions to the field.</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Electronics Engineer has performed at a high level of professional excellence. Their technical skills, problem-solving abilities, and collaborative spirit have significantly contributed to the success of various projects in Tashkent, Uzbekistan. The engineer's work aligns with the broader objectives of advancing the country's technological infrastructure and fostering innovation in the electronics sector.</w:t>
      </w:r>
    </w:p>
    <w:p>
      <w:pPr>
        <w:pStyle w:val="BodyText"/>
      </w:pPr>
      <w:r>
        <w:t xml:space="preserve">It is recommended that the engineer be recognized for their outstanding contributions and provided with opportunities for further professional development, including advanced training in cutting-edge electronics technologies. Continued support and investment in such talent will be instrumental in driving the future growth of the engineering industry in Uzbekistan.</w:t>
      </w:r>
    </w:p>
    <w:bookmarkEnd w:id="30"/>
    <w:p>
      <w:pPr>
        <w:pStyle w:val="BodyText"/>
      </w:pPr>
      <w:r>
        <w:rPr>
          <w:bCs/>
          <w:b/>
        </w:rPr>
        <w:t xml:space="preserve">Prepared by:</w:t>
      </w:r>
    </w:p>
    <w:p>
      <w:pPr>
        <w:pStyle w:val="BodyText"/>
      </w:pPr>
      <w:r>
        <w:t xml:space="preserve">Senior Engineering Review Panel</w:t>
      </w:r>
    </w:p>
    <w:p>
      <w:pPr>
        <w:pStyle w:val="BodyText"/>
      </w:pPr>
      <w:r>
        <w:t xml:space="preserve">Tashkent, Uzbekistan</w:t>
      </w:r>
    </w:p>
    <w:p>
      <w:pPr>
        <w:pStyle w:val="BodyText"/>
      </w:pPr>
      <w:r>
        <w:br/>
      </w:r>
    </w:p>
    <w:p>
      <w:pPr>
        <w:pStyle w:val="BodyText"/>
      </w:pPr>
      <w:r>
        <w:rPr>
          <w:bCs/>
          <w:b/>
        </w:rPr>
        <w:t xml:space="preserve">Approved by:</w:t>
      </w:r>
    </w:p>
    <w:p>
      <w:pPr>
        <w:pStyle w:val="BodyText"/>
      </w:pPr>
      <w:r>
        <w:t xml:space="preserve">Chief Technology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2026-10-10T01:56:32Z</dcterms:created>
  <dcterms:modified xsi:type="dcterms:W3CDTF">2026-10-10T01:56:32Z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