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Environmental Engineer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Environmental Consultant, Member of Engineers Australia</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competence, professional conduct, and regulatory compliance of the subject Environmental Engineer operating within the jurisdiction of Australia Sydney. The purpose of this review is to ensure that the engineer’s practices align with the stringent environmental standards mandated by the New South Wales (NSW) Government, the Environmental Protection Authority (EPA), and the professional guidelines set forth by Engineers Australia.</w:t>
      </w:r>
    </w:p>
    <w:p>
      <w:pPr>
        <w:pStyle w:val="BodyText"/>
      </w:pPr>
      <w:r>
        <w:t xml:space="preserve">The scope of this review encompasses the engineer’s recent projects involving water resource management, contaminated land remediation, and environmental impact assessments (EIA) specific to the Sydney metropolitan area. The assessment focuses on the application of engineering principles, adherence to local legislation, and the sustainability of proposed solutions.</w:t>
      </w:r>
    </w:p>
    <w:bookmarkEnd w:id="21"/>
    <w:bookmarkStart w:id="22" w:name="X084fb89ef1e3a434755592c9c74679e83c20680"/>
    <w:p>
      <w:pPr>
        <w:pStyle w:val="Heading2"/>
      </w:pPr>
      <w:r>
        <w:t xml:space="preserve">2. Regulatory Compliance and Legislative Framework</w:t>
      </w:r>
    </w:p>
    <w:p>
      <w:pPr>
        <w:pStyle w:val="FirstParagraph"/>
      </w:pPr>
      <w:r>
        <w:t xml:space="preserve">A critical component of this Peer Review Report is the evaluation of the Environmental Engineer’s adherence to the legislative framework governing Australia Sydney. The engineer has demonstrated a robust understanding of the</w:t>
      </w:r>
      <w:r>
        <w:t xml:space="preserve"> </w:t>
      </w:r>
      <w:r>
        <w:rPr>
          <w:iCs/>
          <w:i/>
        </w:rPr>
        <w:t xml:space="preserve">Protection of the Environment Operations Act 1997</w:t>
      </w:r>
      <w:r>
        <w:t xml:space="preserve"> </w:t>
      </w:r>
      <w:r>
        <w:t xml:space="preserve">(POEO Act) and the</w:t>
      </w:r>
      <w:r>
        <w:t xml:space="preserve"> </w:t>
      </w:r>
      <w:r>
        <w:rPr>
          <w:iCs/>
          <w:i/>
        </w:rPr>
        <w:t xml:space="preserve">Environmental Planning and Assessment Act 1979</w:t>
      </w:r>
      <w:r>
        <w:t xml:space="preserve">.</w:t>
      </w:r>
    </w:p>
    <w:p>
      <w:pPr>
        <w:pStyle w:val="BodyText"/>
      </w:pPr>
      <w:r>
        <w:t xml:space="preserve">Specifically, the review examined the engineer’s handling of Development Applications (DAs) submitted to local councils within Sydney, such as the City of Sydney and Inner West Council. The engineer’s documentation accurately reflected the requirements of the State Environmental Planning Policy (SEPP) regarding biodiversity conservation and stormwater management. The integration of the Sydney Catchment Authority’s guidelines into the design phase of water infrastructure projects was noted as a particular strength, ensuring that the integrity of the local water supply remains uncompromised.</w:t>
      </w:r>
    </w:p>
    <w:bookmarkEnd w:id="22"/>
    <w:bookmarkStart w:id="25" w:name="technical-competency-and-methodology"/>
    <w:p>
      <w:pPr>
        <w:pStyle w:val="Heading2"/>
      </w:pPr>
      <w:r>
        <w:t xml:space="preserve">3. Technical Competency and Methodology</w:t>
      </w:r>
    </w:p>
    <w:p>
      <w:pPr>
        <w:pStyle w:val="FirstParagraph"/>
      </w:pPr>
      <w:r>
        <w:t xml:space="preserve">The technical proficiency of the Environmental Engineer was assessed through a detailed analysis of three key projects located in the Greater Sydney Region. The methodology employed by the engineer reflects current best practices in environmental engineering.</w:t>
      </w:r>
    </w:p>
    <w:bookmarkStart w:id="23" w:name="contaminated-land-management"/>
    <w:p>
      <w:pPr>
        <w:pStyle w:val="Heading3"/>
      </w:pPr>
      <w:r>
        <w:t xml:space="preserve">3.1 Contaminated Land Management</w:t>
      </w:r>
    </w:p>
    <w:p>
      <w:pPr>
        <w:pStyle w:val="FirstParagraph"/>
      </w:pPr>
      <w:r>
        <w:t xml:space="preserve">In a recent remediation project in the industrial precinct of Sydney, the engineer utilized advanced site investigation techniques to identify soil and groundwater contamination. The risk assessment report prepared by the engineer was comprehensive, utilizing probabilistic modeling to determine exposure pathways. The proposed remediation strategy, which included in-situ bioremediation, was technically sound and aligned with the NSW EPA’s guidelines for managing contaminated land. The engineer demonstrated a clear ability to balance technical efficacy with cost-effectiveness and community safety.</w:t>
      </w:r>
    </w:p>
    <w:bookmarkEnd w:id="23"/>
    <w:bookmarkStart w:id="24" w:name="water-quality-and-stormwater-management"/>
    <w:p>
      <w:pPr>
        <w:pStyle w:val="Heading3"/>
      </w:pPr>
      <w:r>
        <w:t xml:space="preserve">3.2 Water Quality and Stormwater Management</w:t>
      </w:r>
    </w:p>
    <w:p>
      <w:pPr>
        <w:pStyle w:val="FirstParagraph"/>
      </w:pPr>
      <w:r>
        <w:t xml:space="preserve">Given the urban density of Australia Sydney, stormwater management is a paramount concern. The engineer’s design for a sustainable urban drainage system (SUDS) in a residential development showcased a deep understanding of hydrological modeling. The design incorporated bio-retention systems and permeable pavements to mitigate peak flow rates and reduce pollutant loads entering the local waterways. This approach not only complied with the Water Sensitive Urban Design (WSUD) principles but also contributed to the broader resilience of Sydney’s infrastructure against climate change impacts.</w:t>
      </w:r>
    </w:p>
    <w:bookmarkEnd w:id="24"/>
    <w:bookmarkEnd w:id="25"/>
    <w:bookmarkStart w:id="26" w:name="professional-ethics-and-sustainability"/>
    <w:p>
      <w:pPr>
        <w:pStyle w:val="Heading2"/>
      </w:pPr>
      <w:r>
        <w:t xml:space="preserve">4. Professional Ethics and Sustainability</w:t>
      </w:r>
    </w:p>
    <w:p>
      <w:pPr>
        <w:pStyle w:val="FirstParagraph"/>
      </w:pPr>
      <w:r>
        <w:t xml:space="preserve">The Peer Review Report also evaluates the engineer’s commitment to professional ethics and sustainability. The engineer has consistently demonstrated a commitment to the Engineers Australia Code of Ethics, prioritizing public safety and environmental protection over commercial interests.</w:t>
      </w:r>
    </w:p>
    <w:p>
      <w:pPr>
        <w:pStyle w:val="BodyText"/>
      </w:pPr>
      <w:r>
        <w:t xml:space="preserve">In the context of Australia Sydney, where urban development often conflicts with ecological preservation, the engineer has shown a commendable ability to advocate for sustainable outcomes. For instance, in an Environmental Impact Statement (EIS) for a commercial development, the engineer recommended significant modifications to the design to protect a local habitat of native flora. This decision, while initially increasing project costs, ultimately ensured long-term ecological sustainability and regulatory approval, reflecting a high standard of professional integrity.</w:t>
      </w:r>
    </w:p>
    <w:bookmarkEnd w:id="26"/>
    <w:bookmarkStart w:id="27" w:name="areas-for-improvement"/>
    <w:p>
      <w:pPr>
        <w:pStyle w:val="Heading2"/>
      </w:pPr>
      <w:r>
        <w:t xml:space="preserve">5. Areas for Improvement</w:t>
      </w:r>
    </w:p>
    <w:p>
      <w:pPr>
        <w:pStyle w:val="FirstParagraph"/>
      </w:pPr>
      <w:r>
        <w:t xml:space="preserve">While the overall performance of the Environmental Engineer is highly satisfactory, this Peer Review Report identifies a few areas for professional development.</w:t>
      </w:r>
    </w:p>
    <w:p>
      <w:pPr>
        <w:numPr>
          <w:ilvl w:val="0"/>
          <w:numId w:val="1001"/>
        </w:numPr>
        <w:pStyle w:val="Compact"/>
      </w:pPr>
      <w:r>
        <w:rPr>
          <w:bCs/>
          <w:b/>
        </w:rPr>
        <w:t xml:space="preserve">Climate Adaptation Strategies:</w:t>
      </w:r>
      <w:r>
        <w:t xml:space="preserve"> </w:t>
      </w:r>
      <w:r>
        <w:t xml:space="preserve">While the engineer is proficient in current standards, there is an opportunity to further integrate forward-looking climate adaptation strategies into designs, particularly regarding sea-level rise projections for coastal Sydney areas.</w:t>
      </w:r>
    </w:p>
    <w:p>
      <w:pPr>
        <w:numPr>
          <w:ilvl w:val="0"/>
          <w:numId w:val="1001"/>
        </w:numPr>
        <w:pStyle w:val="Compact"/>
      </w:pPr>
      <w:r>
        <w:rPr>
          <w:bCs/>
          <w:b/>
        </w:rPr>
        <w:t xml:space="preserve">Stakeholder Engagement:</w:t>
      </w:r>
      <w:r>
        <w:t xml:space="preserve"> </w:t>
      </w:r>
      <w:r>
        <w:t xml:space="preserve">Enhancing communication strategies with local community groups could further improve the social license to operate for complex environmental projects in densely populated Sydney suburbs.</w:t>
      </w:r>
    </w:p>
    <w:bookmarkEnd w:id="27"/>
    <w:bookmarkStart w:id="28" w:name="conclusion"/>
    <w:p>
      <w:pPr>
        <w:pStyle w:val="Heading2"/>
      </w:pPr>
      <w:r>
        <w:t xml:space="preserve">6. Conclusion</w:t>
      </w:r>
    </w:p>
    <w:p>
      <w:pPr>
        <w:pStyle w:val="FirstParagraph"/>
      </w:pPr>
      <w:r>
        <w:t xml:space="preserve">In conclusion, this Peer Review Report confirms that the subject Environmental Engineer possesses the requisite technical knowledge, practical experience, and ethical grounding to practice effectively within Australia Sydney. The engineer’s work demonstrates a rigorous application of engineering principles, strict adherence to NSW environmental legislation, and a genuine commitment to sustainable development.</w:t>
      </w:r>
    </w:p>
    <w:p>
      <w:pPr>
        <w:pStyle w:val="BodyText"/>
      </w:pPr>
      <w:r>
        <w:t xml:space="preserve">The engineer is deemed competent to undertake complex environmental engineering tasks, including contaminated land assessment, water resource management, and environmental impact assessment. It is recommended that the engineer continues to engage in professional development activities to stay abreast of evolving environmental regulations and technological advancements in the field.</w:t>
      </w:r>
    </w:p>
    <w:bookmarkEnd w:id="28"/>
    <w:p>
      <w:pPr>
        <w:pStyle w:val="BodyText"/>
      </w:pPr>
      <w:r>
        <w:rPr>
          <w:bCs/>
          <w:b/>
        </w:rPr>
        <w:t xml:space="preserve">Reviewed by:</w:t>
      </w:r>
    </w:p>
    <w:p>
      <w:pPr>
        <w:pStyle w:val="BodyText"/>
      </w:pPr>
      <w:r>
        <w:t xml:space="preserve">__________________________</w:t>
      </w:r>
    </w:p>
    <w:p>
      <w:pPr>
        <w:pStyle w:val="BodyText"/>
      </w:pPr>
      <w:r>
        <w:t xml:space="preserve">Senior Environmental Engineer</w:t>
      </w:r>
    </w:p>
    <w:p>
      <w:pPr>
        <w:pStyle w:val="BodyText"/>
      </w:pPr>
      <w:r>
        <w:t xml:space="preserve">Member, Engineers Australia</w:t>
      </w:r>
    </w:p>
    <w:p>
      <w:pPr>
        <w:pStyle w:val="BodyText"/>
      </w:pPr>
      <w:r>
        <w:t xml:space="preserve">Sydney, New South Wales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dc:title>
  <dc:creator/>
  <dc:language>en</dc:language>
  <cp:keywords/>
  <dcterms:created xsi:type="dcterms:W3CDTF">2026-10-10T09:15:32Z</dcterms:created>
  <dcterms:modified xsi:type="dcterms:W3CDTF">2026-10-10T09:15:32Z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