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regulatory compliance adherence of the designated Environmental Engineer operating within the metropolitan region of Turkey Istanbul. The review process was conducted by a panel of senior environmental professionals and industry stakeholders. The primary objective of this assessment is to ensure that the engineer’s methodologies align with both international best practices and the specific environmental regulations enforced by the Turkish Ministry of Environment, Urbanization and Climate Change.</w:t>
      </w:r>
    </w:p>
    <w:p>
      <w:pPr>
        <w:pStyle w:val="BodyText"/>
      </w:pPr>
      <w:r>
        <w:t xml:space="preserve">The scope of this review covers air quality management, wastewater treatment optimization, industrial waste disposal protocols, and environmental impact assessments (EIA) specific to the unique geographical and urban challenges of Istanbul. The findings indicate a high level of technical proficiency, with specific recommendations provided regarding the integration of advanced monitoring technologies and enhanced stakeholder communication strategies.</w:t>
      </w:r>
    </w:p>
    <w:bookmarkEnd w:id="21"/>
    <w:bookmarkStart w:id="22" w:name="introduction-and-context"/>
    <w:p>
      <w:pPr>
        <w:pStyle w:val="Heading2"/>
      </w:pPr>
      <w:r>
        <w:t xml:space="preserve">2. Introduction and Context</w:t>
      </w:r>
    </w:p>
    <w:p>
      <w:pPr>
        <w:pStyle w:val="FirstParagraph"/>
      </w:pPr>
      <w:r>
        <w:t xml:space="preserve">Istanbul, as a transcontinental megacity, presents a complex matrix of environmental challenges. The rapid urbanization, heavy industrial activity in zones such as Organized Industrial Zones (OSB), and the critical importance of the Bosphorus and Marmara Sea ecosystems require rigorous environmental oversight. The role of the Environmental Engineer in this context is pivotal. They are responsible for mitigating pollution, ensuring sustainable development, and maintaining compliance with the Turkish Environmental Law No. 2872 and subsequent regulations.</w:t>
      </w:r>
    </w:p>
    <w:p>
      <w:pPr>
        <w:pStyle w:val="BodyText"/>
      </w:pPr>
      <w:r>
        <w:t xml:space="preserve">This Peer Review Report aims to scrutinize the engineer's ability to navigate this complex regulatory landscape while delivering effective engineering solutions. The review focuses on the engineer's recent projects involving industrial effluent treatment and urban air quality monitoring, assessing their technical accuracy, innovation, and adherence to safety standards.</w:t>
      </w:r>
    </w:p>
    <w:bookmarkEnd w:id="22"/>
    <w:bookmarkStart w:id="25" w:name="technical-competency-and-methodology"/>
    <w:p>
      <w:pPr>
        <w:pStyle w:val="Heading2"/>
      </w:pPr>
      <w:r>
        <w:t xml:space="preserve">3. Technical Competency and Methodology</w:t>
      </w:r>
    </w:p>
    <w:bookmarkStart w:id="23" w:name="regulatory-compliance"/>
    <w:p>
      <w:pPr>
        <w:pStyle w:val="Heading3"/>
      </w:pPr>
      <w:r>
        <w:t xml:space="preserve">3.1 Regulatory Compliance</w:t>
      </w:r>
    </w:p>
    <w:p>
      <w:pPr>
        <w:pStyle w:val="FirstParagraph"/>
      </w:pPr>
      <w:r>
        <w:t xml:space="preserve">The Environmental Engineer demonstrated a thorough understanding of the legal framework governing environmental protection in Turkey Istanbul. The review panel noted accurate application of the "Regulation on the Control of Industrial Wastewater" and the "Regulation on Air Quality Management." The engineer’s documentation for recent EIA reports was found to be comprehensive, correctly identifying sensitive receptors and proposing adequate mitigation measures in accordance with local municipal requirements.</w:t>
      </w:r>
    </w:p>
    <w:bookmarkEnd w:id="23"/>
    <w:bookmarkStart w:id="24" w:name="X9b2a28565a70c814e06a5e753af559e98a8b35d"/>
    <w:p>
      <w:pPr>
        <w:pStyle w:val="Heading3"/>
      </w:pPr>
      <w:r>
        <w:t xml:space="preserve">3.2 Project Execution and Engineering Solutions</w:t>
      </w:r>
    </w:p>
    <w:p>
      <w:pPr>
        <w:pStyle w:val="FirstParagraph"/>
      </w:pPr>
      <w:r>
        <w:t xml:space="preserve">In the assessment of wastewater treatment projects, the engineer exhibited strong technical skills in process design and optimization. The proposed solutions for upgrading secondary treatment facilities to meet stricter discharge limits into the Marmara Sea were technically sound. The use of activated sludge processes and membrane bioreactor (MBR) technologies was justified based on site-specific constraints and hydraulic loading rates.</w:t>
      </w:r>
    </w:p>
    <w:p>
      <w:pPr>
        <w:pStyle w:val="BodyText"/>
      </w:pPr>
      <w:r>
        <w:t xml:space="preserve">Furthermore, the engineer’s approach to air quality management in industrial zones showed a data-driven methodology. The deployment of continuous emission monitoring systems (CEMS) and the subsequent data analysis were conducted with precision. The correlation of local emission data with regional air quality indices demonstrated a holistic understanding of atmospheric dispersion modeling relevant to Istanbul’s topography.</w:t>
      </w:r>
    </w:p>
    <w:bookmarkEnd w:id="24"/>
    <w:bookmarkEnd w:id="25"/>
    <w:bookmarkStart w:id="26" w:name="Xf969f2653d2ec20259e191247cc76f21349eaf7"/>
    <w:p>
      <w:pPr>
        <w:pStyle w:val="Heading2"/>
      </w:pPr>
      <w:r>
        <w:t xml:space="preserve">4. Professional Ethics and Stakeholder Engagement</w:t>
      </w:r>
    </w:p>
    <w:p>
      <w:pPr>
        <w:pStyle w:val="FirstParagraph"/>
      </w:pPr>
      <w:r>
        <w:t xml:space="preserve">Professional ethics are paramount in environmental engineering, particularly in a densely populated area like Turkey Istanbul. The Peer Review Report highlights the engineer’s commitment to transparency and integrity. In instances where project data indicated potential non-compliance risks, the engineer proactively communicated these findings to management and proposed corrective actions, thereby upholding the public interest.</w:t>
      </w:r>
    </w:p>
    <w:p>
      <w:pPr>
        <w:pStyle w:val="BodyText"/>
      </w:pPr>
      <w:r>
        <w:t xml:space="preserve">Stakeholder engagement was another key area of evaluation. The engineer successfully facilitated meetings with local community representatives and municipal authorities. The ability to translate complex technical data into understandable information for non-technical stakeholders was noted as a significant strength. This skill is crucial for gaining public acceptance of environmental projects and ensuring smooth regulatory approvals.</w:t>
      </w:r>
    </w:p>
    <w:bookmarkEnd w:id="26"/>
    <w:bookmarkStart w:id="27" w:name="Xda79409093af40bd3d15ed7d2a5582dbca223f1"/>
    <w:p>
      <w:pPr>
        <w:pStyle w:val="Heading2"/>
      </w:pPr>
      <w:r>
        <w:t xml:space="preserve">5. Areas for Improvement and Recommendations</w:t>
      </w:r>
    </w:p>
    <w:p>
      <w:pPr>
        <w:pStyle w:val="FirstParagraph"/>
      </w:pPr>
      <w:r>
        <w:t xml:space="preserve">While the overall performance of the Environmental Engineer is commendable, the review panel identified several areas for enhancement to further elevate the quality of work and impact:</w:t>
      </w:r>
    </w:p>
    <w:p>
      <w:pPr>
        <w:numPr>
          <w:ilvl w:val="0"/>
          <w:numId w:val="1001"/>
        </w:numPr>
        <w:pStyle w:val="Compact"/>
      </w:pPr>
      <w:r>
        <w:rPr>
          <w:bCs/>
          <w:b/>
        </w:rPr>
        <w:t xml:space="preserve">Integration of Digital Tools:</w:t>
      </w:r>
      <w:r>
        <w:t xml:space="preserve"> </w:t>
      </w:r>
      <w:r>
        <w:t xml:space="preserve">It is recommended that the engineer adopt more advanced Geographic Information Systems (GIS) and remote sensing technologies for environmental monitoring. These tools can provide real-time data visualization, which is essential for managing the dynamic environmental conditions of Istanbul.</w:t>
      </w:r>
    </w:p>
    <w:p>
      <w:pPr>
        <w:numPr>
          <w:ilvl w:val="0"/>
          <w:numId w:val="1001"/>
        </w:numPr>
        <w:pStyle w:val="Compact"/>
      </w:pPr>
      <w:r>
        <w:rPr>
          <w:bCs/>
          <w:b/>
        </w:rPr>
        <w:t xml:space="preserve">Circular Economy Principles:</w:t>
      </w:r>
      <w:r>
        <w:t xml:space="preserve"> </w:t>
      </w:r>
      <w:r>
        <w:t xml:space="preserve">Future projects should place a greater emphasis on circular economy strategies. This includes exploring opportunities for resource recovery from wastewater and industrial waste, aligning with Turkey’s national sustainability goals.</w:t>
      </w:r>
    </w:p>
    <w:p>
      <w:pPr>
        <w:numPr>
          <w:ilvl w:val="0"/>
          <w:numId w:val="1001"/>
        </w:numPr>
        <w:pStyle w:val="Compact"/>
      </w:pPr>
      <w:r>
        <w:rPr>
          <w:bCs/>
          <w:b/>
        </w:rPr>
        <w:t xml:space="preserve">Climate Change Adaptation:</w:t>
      </w:r>
      <w:r>
        <w:t xml:space="preserve"> </w:t>
      </w:r>
      <w:r>
        <w:t xml:space="preserve">Given the increasing frequency of extreme weather events in the region, the engineer should incorporate climate resilience into all environmental impact assessments. This involves assessing the vulnerability of infrastructure to flooding and heatwaves.</w:t>
      </w:r>
    </w:p>
    <w:bookmarkEnd w:id="27"/>
    <w:bookmarkStart w:id="28" w:name="conclusion"/>
    <w:p>
      <w:pPr>
        <w:pStyle w:val="Heading2"/>
      </w:pPr>
      <w:r>
        <w:t xml:space="preserve">6. Conclusion</w:t>
      </w:r>
    </w:p>
    <w:p>
      <w:pPr>
        <w:pStyle w:val="FirstParagraph"/>
      </w:pPr>
      <w:r>
        <w:t xml:space="preserve">In conclusion, this Peer Review Report affirms that the Environmental Engineer in question possesses the requisite technical knowledge, professional ethics, and practical skills to effectively manage environmental challenges in Turkey Istanbul. The engineer’s work contributes significantly to the protection of the region’s natural resources and the health of its population. By implementing the recommendations outlined in this report, particularly regarding digital integration and climate adaptation, the engineer will be well-positioned to lead future environmental initiatives with even greater success.</w:t>
      </w:r>
    </w:p>
    <w:p>
      <w:pPr>
        <w:pStyle w:val="BodyText"/>
      </w:pPr>
      <w:r>
        <w:t xml:space="preserve">The review panel recommends the continuation of the engineer’s current role with a focus on professional development in emerging environmental technologies and policy frameworks.</w:t>
      </w:r>
    </w:p>
    <w:bookmarkEnd w:id="28"/>
    <w:p>
      <w:pPr>
        <w:pStyle w:val="BodyText"/>
      </w:pPr>
      <w:r>
        <w:rPr>
          <w:bCs/>
          <w:b/>
        </w:rPr>
        <w:t xml:space="preserve">Prepared by:</w:t>
      </w:r>
    </w:p>
    <w:p>
      <w:pPr>
        <w:pStyle w:val="BodyText"/>
      </w:pPr>
      <w:r>
        <w:t xml:space="preserve">Senior Review Panel</w:t>
      </w:r>
    </w:p>
    <w:p>
      <w:pPr>
        <w:pStyle w:val="BodyText"/>
      </w:pPr>
      <w:r>
        <w:t xml:space="preserve">Environmental Engineering Accreditation Board</w:t>
      </w:r>
    </w:p>
    <w:p>
      <w:pPr>
        <w:pStyle w:val="BodyText"/>
      </w:pPr>
      <w:r>
        <w:t xml:space="preserve">Istanbul,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Turkey Istanbul</dc:title>
  <dc:creator/>
  <dc:language>en</dc:language>
  <cp:keywords/>
  <dcterms:created xsi:type="dcterms:W3CDTF">2026-10-10T07:00:22Z</dcterms:created>
  <dcterms:modified xsi:type="dcterms:W3CDTF">2026-10-10T07:00:22Z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