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Technical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Birmingham, United Kingdom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project management capabilities of the subject Environmental Engineer operating within the West Midlands region, specifically Birmingham, United Kingdom. The review focuses on the engineer's adherence to UK environmental standards, including those set by the Environment Agency (EA) and the Birmingham City Council. The assessment concludes that the engineer demonstrates a high level of competence in managing complex environmental challenges pertinent to the urban and industrial landscape of Birmingham.</w:t>
      </w:r>
    </w:p>
    <w:bookmarkEnd w:id="21"/>
    <w:bookmarkStart w:id="22" w:name="X4bc4b1c7ef29040b8a00b7c589cb9a284653636"/>
    <w:p>
      <w:pPr>
        <w:pStyle w:val="Heading2"/>
      </w:pPr>
      <w:r>
        <w:t xml:space="preserve">2. Regulatory Compliance and Legal Framework</w:t>
      </w:r>
    </w:p>
    <w:p>
      <w:pPr>
        <w:pStyle w:val="FirstParagraph"/>
      </w:pPr>
      <w:r>
        <w:t xml:space="preserve">A critical aspect of the Environmental Engineer's role in the United Kingdom is strict adherence to national and local legislation. During the review period, the engineer was assessed on their application of the Environmental Permitting Regulations (EPR) 2016 and the Water Resources Act 1991.</w:t>
      </w:r>
    </w:p>
    <w:p>
      <w:pPr>
        <w:pStyle w:val="BodyText"/>
      </w:pPr>
      <w:r>
        <w:t xml:space="preserve">The engineer successfully navigated the permitting process for a major brownfield redevelopment project in the Birmingham city centre. Their documentation submitted to the Environment Agency was comprehensive, demonstrating a thorough understanding of the regulatory requirements specific to the West Midlands. Furthermore, the engineer ensured that all site activities complied with the Birmingham City Council's Local Plan policies regarding sustainable development and flood risk management. No regulatory breaches or enforcement notices were issued during the projects under their supervision, indicating a robust command of the legal framework governing environmental engineering in the UK.</w:t>
      </w:r>
    </w:p>
    <w:bookmarkEnd w:id="22"/>
    <w:bookmarkStart w:id="23" w:name="Xfe426b331e2b9257a5eb770b471230035f734be"/>
    <w:p>
      <w:pPr>
        <w:pStyle w:val="Heading2"/>
      </w:pPr>
      <w:r>
        <w:t xml:space="preserve">3. Technical Competence and Project Delivery</w:t>
      </w:r>
    </w:p>
    <w:p>
      <w:pPr>
        <w:pStyle w:val="FirstParagraph"/>
      </w:pPr>
      <w:r>
        <w:t xml:space="preserve">The technical evaluation focused on three primary areas: contaminated land remediation, water resource management, and air quality monitoring. Birmingham, as a post-industrial hub, presents unique challenges in these areas, particularly regarding legacy contamination from historical manufacturing sites.</w:t>
      </w:r>
    </w:p>
    <w:p>
      <w:pPr>
        <w:pStyle w:val="BodyText"/>
      </w:pPr>
      <w:r>
        <w:rPr>
          <w:bCs/>
          <w:b/>
        </w:rPr>
        <w:t xml:space="preserve">Contaminated Land Remediation:</w:t>
      </w:r>
      <w:r>
        <w:t xml:space="preserve"> </w:t>
      </w:r>
      <w:r>
        <w:t xml:space="preserve">The engineer led the remediation strategy for a former industrial site in the Aston district. They employed advanced soil sampling techniques and risk assessment methodologies aligned with the Model Procedures for the Management of Land Contamination (CLR 11). The proposed remediation plan effectively addressed heavy metal contamination while minimizing disruption to the surrounding community.</w:t>
      </w:r>
    </w:p>
    <w:p>
      <w:pPr>
        <w:pStyle w:val="BodyText"/>
      </w:pPr>
      <w:r>
        <w:rPr>
          <w:bCs/>
          <w:b/>
        </w:rPr>
        <w:t xml:space="preserve">Water and Flood Risk:</w:t>
      </w:r>
      <w:r>
        <w:t xml:space="preserve"> </w:t>
      </w:r>
      <w:r>
        <w:t xml:space="preserve">Given Birmingham's susceptibility to surface water flooding, the engineer integrated Sustainable Drainage Systems (SuDS) into recent infrastructure projects. Their design for a commercial development in Solihull (within the Greater Birmingham area) utilized permeable paving and retention basins, significantly reducing the runoff coefficient and aligning with the National Planning Policy Framework (NPPF) requirements for flood risk mitigation.</w:t>
      </w:r>
    </w:p>
    <w:bookmarkEnd w:id="23"/>
    <w:bookmarkStart w:id="24" w:name="sustainability-and-carbon-reduction"/>
    <w:p>
      <w:pPr>
        <w:pStyle w:val="Heading2"/>
      </w:pPr>
      <w:r>
        <w:t xml:space="preserve">4. Sustainability and Carbon Reduction</w:t>
      </w:r>
    </w:p>
    <w:p>
      <w:pPr>
        <w:pStyle w:val="FirstParagraph"/>
      </w:pPr>
      <w:r>
        <w:t xml:space="preserve">In alignment with the United Kingdom's commitment to achieving Net Zero by 2050, the Environmental Engineer was evaluated on their integration of sustainability principles. The engineer demonstrated a proactive approach to carbon reduction by conducting Life Cycle Assessments (LCA) for construction materials used in Birmingham-based projects.</w:t>
      </w:r>
    </w:p>
    <w:p>
      <w:pPr>
        <w:pStyle w:val="BodyText"/>
      </w:pPr>
      <w:r>
        <w:t xml:space="preserve">Notably, the engineer advocated for the use of low-carbon concrete alternatives and optimized energy efficiency in building services designs. Their efforts contributed to several projects achieving BREEAM 'Excellent' ratings, a standard highly regarded in the UK construction and environmental sectors. This focus on sustainability not only meets regulatory expectations but also enhances the long-term environmental resilience of developments in Birmingham.</w:t>
      </w:r>
    </w:p>
    <w:bookmarkEnd w:id="24"/>
    <w:bookmarkStart w:id="25" w:name="stakeholder-engagement-and-communication"/>
    <w:p>
      <w:pPr>
        <w:pStyle w:val="Heading2"/>
      </w:pPr>
      <w:r>
        <w:t xml:space="preserve">5. Stakeholder Engagement and Communication</w:t>
      </w:r>
    </w:p>
    <w:p>
      <w:pPr>
        <w:pStyle w:val="FirstParagraph"/>
      </w:pPr>
      <w:r>
        <w:t xml:space="preserve">Effective communication is vital for an Environmental Engineer working in a densely populated urban area like Birmingham. The review assessed the engineer's ability to liaise with diverse stakeholders, including local residents, Birmingham City Council planning officers, the Environment Agency, and private developers.</w:t>
      </w:r>
    </w:p>
    <w:p>
      <w:pPr>
        <w:pStyle w:val="BodyText"/>
      </w:pPr>
      <w:r>
        <w:t xml:space="preserve">The engineer was commended for their clear and transparent communication during public consultations regarding a waste management facility expansion. They successfully translated complex technical data into accessible information, addressing community concerns about noise and air quality. This ability to build trust and manage stakeholder expectations is crucial for the successful delivery of environmental projects in the UK context.</w:t>
      </w:r>
    </w:p>
    <w:bookmarkEnd w:id="25"/>
    <w:bookmarkStart w:id="26" w:name="areas-for-development"/>
    <w:p>
      <w:pPr>
        <w:pStyle w:val="Heading2"/>
      </w:pPr>
      <w:r>
        <w:t xml:space="preserve">6. Areas for Development</w:t>
      </w:r>
    </w:p>
    <w:p>
      <w:pPr>
        <w:pStyle w:val="FirstParagraph"/>
      </w:pPr>
      <w:r>
        <w:t xml:space="preserve">While the overall performance is exemplary, the review identified minor areas for professional development. The engineer is encouraged to deepen their expertise in emerging technologies related to circular economy practices, particularly in waste-to-energy solutions relevant to the West Midlands industrial sector. Additionally, further training on the latest updates to the UK's Environmental Impact Assessment (EIA) regulations would be beneficial to ensure continued compliance with evolving legislative standards.</w:t>
      </w:r>
    </w:p>
    <w:bookmarkEnd w:id="26"/>
    <w:bookmarkStart w:id="27" w:name="conclusion"/>
    <w:p>
      <w:pPr>
        <w:pStyle w:val="Heading2"/>
      </w:pPr>
      <w:r>
        <w:t xml:space="preserve">7. Conclusion</w:t>
      </w:r>
    </w:p>
    <w:p>
      <w:pPr>
        <w:pStyle w:val="FirstParagraph"/>
      </w:pPr>
      <w:r>
        <w:t xml:space="preserve">This Peer Review Report confirms that the Environmental Engineer possesses the requisite technical skills, regulatory knowledge, and professional integrity to operate effectively within Birmingham, United Kingdom. Their work contributes positively to the environmental sustainability and regulatory compliance of projects in the region. The engineer is recommended for continued employment and is well-positioned to take on senior responsibilities in future environmental engineering initiatives across the UK.</w:t>
      </w:r>
    </w:p>
    <w:bookmarkEnd w:id="27"/>
    <w:p>
      <w:pPr>
        <w:pStyle w:val="BodyText"/>
      </w:pPr>
      <w:r>
        <w:rPr>
          <w:bCs/>
          <w:b/>
        </w:rPr>
        <w:t xml:space="preserve">Reviewed By:</w:t>
      </w:r>
    </w:p>
    <w:p>
      <w:pPr>
        <w:pStyle w:val="BodyText"/>
      </w:pPr>
      <w:r>
        <w:t xml:space="preserve">Dr. James H. Sterling, CEng, MICE, MIEMA</w:t>
      </w:r>
    </w:p>
    <w:p>
      <w:pPr>
        <w:pStyle w:val="BodyText"/>
      </w:pPr>
      <w:r>
        <w:t xml:space="preserve">Senior Environmental Consultant</w:t>
      </w:r>
    </w:p>
    <w:p>
      <w:pPr>
        <w:pStyle w:val="BodyText"/>
      </w:pPr>
      <w:r>
        <w:t xml:space="preserve">Chartered Institution of Water and Environmental Management (CIWEM)</w:t>
      </w:r>
    </w:p>
    <w:p>
      <w:pPr>
        <w:pStyle w:val="BodyText"/>
      </w:pPr>
      <w:r>
        <w:t xml:space="preserve">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Birmingham, United Kingdom</dc:title>
  <dc:creator/>
  <dc:language>en</dc:language>
  <cp:keywords/>
  <dcterms:created xsi:type="dcterms:W3CDTF">2026-10-10T08:49:03Z</dcterms:created>
  <dcterms:modified xsi:type="dcterms:W3CDTF">2026-10-10T08:49:03Z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