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Tashkent,</w:t>
      </w:r>
      <w:r>
        <w:t xml:space="preserve"> </w:t>
      </w:r>
      <w:r>
        <w:t xml:space="preserve">Uzbekistan</w:t>
      </w:r>
    </w:p>
    <w:bookmarkStart w:id="3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 Under Review:</w:t>
      </w:r>
      <w:r>
        <w:t xml:space="preserve"> </w:t>
      </w:r>
      <w:r>
        <w:t xml:space="preserve">Senior Environmental Engineer</w:t>
      </w:r>
    </w:p>
    <w:p>
      <w:pPr>
        <w:pStyle w:val="BodyText"/>
      </w:pPr>
      <w:r>
        <w:rPr>
          <w:bCs/>
          <w:b/>
        </w:rPr>
        <w:t xml:space="preserve">Location of Operations:</w:t>
      </w:r>
      <w:r>
        <w:t xml:space="preserve"> </w:t>
      </w:r>
      <w:r>
        <w:t xml:space="preserve">Tashkent, Uzbekistan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Technical Assessment Panel</w:t>
      </w:r>
    </w:p>
    <w:bookmarkStart w:id="20" w:name="executive-summary"/>
    <w:p>
      <w:pPr>
        <w:pStyle w:val="Heading2"/>
      </w:pPr>
      <w:r>
        <w:t xml:space="preserve">1. Executive Summary</w:t>
      </w:r>
    </w:p>
    <w:p>
      <w:pPr>
        <w:pStyle w:val="FirstParagraph"/>
      </w:pPr>
      <w:r>
        <w:t xml:space="preserve">This Peer Review Report serves as a comprehensive evaluation of the technical capabilities, regulatory compliance adherence, and project management skills of the Environmental Engineer assigned to the Tashkent metropolitan development zone. The review was conducted in accordance with international engineering standards and the specific environmental legislation of the Republic of Uzbekistan. The primary objective of this assessment is to ensure that the Environmental Engineer's methodologies align with the rapid urbanization needs of Tashkent while safeguarding the ecological integrity of the region.</w:t>
      </w:r>
    </w:p>
    <w:p>
      <w:pPr>
        <w:pStyle w:val="BodyText"/>
      </w:pPr>
      <w:r>
        <w:t xml:space="preserve">The findings indicate a high level of technical proficiency regarding water resource management and industrial emission control. However, the report identifies specific areas for improvement concerning the integration of local community stakeholders and the adoption of advanced digital monitoring systems required for modern smart city initiatives in Tashkent.</w:t>
      </w:r>
    </w:p>
    <w:bookmarkEnd w:id="20"/>
    <w:bookmarkStart w:id="21" w:name="context-and-scope-of-review"/>
    <w:p>
      <w:pPr>
        <w:pStyle w:val="Heading2"/>
      </w:pPr>
      <w:r>
        <w:t xml:space="preserve">2. Context and Scope of Review</w:t>
      </w:r>
    </w:p>
    <w:p>
      <w:pPr>
        <w:pStyle w:val="FirstParagraph"/>
      </w:pPr>
      <w:r>
        <w:t xml:space="preserve">Tashkent, as the capital and largest city of Uzbekistan, faces unique environmental challenges. These include air quality degradation due to vehicular emissions and industrial activity, water scarcity issues linked to the Aral Sea basin, and the management of solid waste in a rapidly growing population center. The Environmental Engineer under review has been tasked with overseeing mitigation strategies for a major infrastructure project within the city limits.</w:t>
      </w:r>
    </w:p>
    <w:p>
      <w:pPr>
        <w:pStyle w:val="BodyText"/>
      </w:pPr>
      <w:r>
        <w:t xml:space="preserve">The scope of this Peer Review Report encompasses the engineer's performance over the last twelve months. It evaluates their ability to interpret the "Law of the Republic of Uzbekistan on Environmental Protection," their technical design solutions, and their collaboration with local government bodies such as the State Committee for Ecology and Environmental Protection.</w:t>
      </w:r>
    </w:p>
    <w:bookmarkEnd w:id="21"/>
    <w:bookmarkStart w:id="25" w:name="technical-competency-assessment"/>
    <w:p>
      <w:pPr>
        <w:pStyle w:val="Heading2"/>
      </w:pPr>
      <w:r>
        <w:t xml:space="preserve">3. Technical Competency Assessment</w:t>
      </w:r>
    </w:p>
    <w:bookmarkStart w:id="22" w:name="water-resource-management"/>
    <w:p>
      <w:pPr>
        <w:pStyle w:val="Heading3"/>
      </w:pPr>
      <w:r>
        <w:t xml:space="preserve">3.1 Water Resource Management</w:t>
      </w:r>
    </w:p>
    <w:p>
      <w:pPr>
        <w:pStyle w:val="FirstParagraph"/>
      </w:pPr>
      <w:r>
        <w:t xml:space="preserve">A critical aspect of the Environmental Engineer's role in Tashkent is the management of water resources. The review confirms that the engineer has successfully implemented wastewater treatment protocols that exceed the minimum standards set by Uzbek sanitary norms. The proposed filtration systems for the industrial zone demonstrate a sophisticated understanding of local hydrogeology. The engineer effectively addressed the salinity issues common in the Tashkent region, proposing sustainable irrigation alternatives that reduce the strain on the city's potable water supply.</w:t>
      </w:r>
    </w:p>
    <w:bookmarkEnd w:id="22"/>
    <w:bookmarkStart w:id="23" w:name="air-quality-and-emission-control"/>
    <w:p>
      <w:pPr>
        <w:pStyle w:val="Heading3"/>
      </w:pPr>
      <w:r>
        <w:t xml:space="preserve">3.2 Air Quality and Emission Control</w:t>
      </w:r>
    </w:p>
    <w:p>
      <w:pPr>
        <w:pStyle w:val="FirstParagraph"/>
      </w:pPr>
      <w:r>
        <w:t xml:space="preserve">Air pollution is a pressing concern in Tashkent. The Environmental Engineer has demonstrated strong competency in modeling air dispersion patterns. The review highlights the engineer's successful deployment of particulate matter monitoring stations across the project site. The data collected has been instrumental in adjusting operational hours for heavy machinery to minimize impact on residential areas. The engineer's adherence to the national standards for atmospheric air quality (O'zDSt) is commendable and reflects a rigorous approach to public health protection.</w:t>
      </w:r>
    </w:p>
    <w:bookmarkEnd w:id="23"/>
    <w:bookmarkStart w:id="24" w:name="solid-waste-management"/>
    <w:p>
      <w:pPr>
        <w:pStyle w:val="Heading3"/>
      </w:pPr>
      <w:r>
        <w:t xml:space="preserve">3.3 Solid Waste Management</w:t>
      </w:r>
    </w:p>
    <w:p>
      <w:pPr>
        <w:pStyle w:val="FirstParagraph"/>
      </w:pPr>
      <w:r>
        <w:t xml:space="preserve">The engineer's approach to solid waste management aligns with the national strategy for waste reduction. The implementation of a segregated waste collection system for the construction phase was executed efficiently. However, the Peer Review Report notes that the long-term plan for recycling infrastructure could be more robust. While the current plan meets regulatory requirements, it lacks the innovative circular economy principles that are increasingly expected in major Central Asian urban centers.</w:t>
      </w:r>
    </w:p>
    <w:bookmarkEnd w:id="24"/>
    <w:bookmarkEnd w:id="25"/>
    <w:bookmarkStart w:id="26" w:name="X14e31664c1e3f47a55acd3d5d7eb9d94dfe16f3"/>
    <w:p>
      <w:pPr>
        <w:pStyle w:val="Heading2"/>
      </w:pPr>
      <w:r>
        <w:t xml:space="preserve">4. Regulatory Compliance and Legal Adherence</w:t>
      </w:r>
    </w:p>
    <w:p>
      <w:pPr>
        <w:pStyle w:val="FirstParagraph"/>
      </w:pPr>
      <w:r>
        <w:t xml:space="preserve">The Environmental Engineer has shown a thorough understanding of the legal framework governing environmental protection in Uzbekistan. All Environmental Impact Assessments (EIAs) submitted were comprehensive and accurately reflected the potential risks associated with the project. The engineer maintained open lines of communication with regulatory inspectors, ensuring that all permits were obtained prior to the commencement of critical activities.</w:t>
      </w:r>
    </w:p>
    <w:p>
      <w:pPr>
        <w:pStyle w:val="BodyText"/>
      </w:pPr>
      <w:r>
        <w:t xml:space="preserve">Specifically, the engineer's handling of the "Red Book" species protection protocols was exemplary. During the site preparation phase, the engineer identified protected flora and successfully negotiated a relocation plan that satisfied both the project timeline and the conservation mandates of the Uzbek government.</w:t>
      </w:r>
    </w:p>
    <w:bookmarkEnd w:id="26"/>
    <w:bookmarkStart w:id="27" w:name="X22059d7c59f5956c82fa902353b3fc6015809a9"/>
    <w:p>
      <w:pPr>
        <w:pStyle w:val="Heading2"/>
      </w:pPr>
      <w:r>
        <w:t xml:space="preserve">5. Professional Conduct and Stakeholder Engagement</w:t>
      </w:r>
    </w:p>
    <w:p>
      <w:pPr>
        <w:pStyle w:val="FirstParagraph"/>
      </w:pPr>
      <w:r>
        <w:t xml:space="preserve">Professionalism in Tashkent requires not only technical skill but also cultural sensitivity and effective communication. The Environmental Engineer has generally performed well in this regard, fostering good relationships with local contractors and municipal officials.</w:t>
      </w:r>
    </w:p>
    <w:p>
      <w:pPr>
        <w:pStyle w:val="BodyText"/>
      </w:pPr>
      <w:r>
        <w:t xml:space="preserve">However, the Peer Review Report identifies a gap in community engagement. While the engineer interacts frequently with government bodies, there is limited evidence of direct consultation with the local residents affected by the project. In the context of Tashkent's dense urban environment, community buy-in is essential for the long-term success of environmental initiatives. It is recommended that the engineer organizes town hall meetings or informational sessions to address public concerns regarding noise, dust, and traffic.</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 for the Environmental Engineer:</w:t>
      </w:r>
    </w:p>
    <w:p>
      <w:pPr>
        <w:numPr>
          <w:ilvl w:val="0"/>
          <w:numId w:val="1001"/>
        </w:numPr>
        <w:pStyle w:val="Compact"/>
      </w:pPr>
      <w:r>
        <w:rPr>
          <w:bCs/>
          <w:b/>
        </w:rPr>
        <w:t xml:space="preserve">Enhance Digital Integration:</w:t>
      </w:r>
      <w:r>
        <w:t xml:space="preserve"> </w:t>
      </w:r>
      <w:r>
        <w:t xml:space="preserve">Adopt IoT-based environmental monitoring tools to provide real-time data to stakeholders, aligning with Tashkent's smart city goals.</w:t>
      </w:r>
    </w:p>
    <w:p>
      <w:pPr>
        <w:numPr>
          <w:ilvl w:val="0"/>
          <w:numId w:val="1001"/>
        </w:numPr>
        <w:pStyle w:val="Compact"/>
      </w:pPr>
      <w:r>
        <w:rPr>
          <w:bCs/>
          <w:b/>
        </w:rPr>
        <w:t xml:space="preserve">Strengthen Community Relations:</w:t>
      </w:r>
      <w:r>
        <w:t xml:space="preserve"> </w:t>
      </w:r>
      <w:r>
        <w:t xml:space="preserve">Develop a structured community engagement plan to improve transparency and trust with local residents.</w:t>
      </w:r>
    </w:p>
    <w:p>
      <w:pPr>
        <w:numPr>
          <w:ilvl w:val="0"/>
          <w:numId w:val="1001"/>
        </w:numPr>
        <w:pStyle w:val="Compact"/>
      </w:pPr>
      <w:r>
        <w:rPr>
          <w:bCs/>
          <w:b/>
        </w:rPr>
        <w:t xml:space="preserve">Advanced Recycling Strategies:</w:t>
      </w:r>
      <w:r>
        <w:t xml:space="preserve"> </w:t>
      </w:r>
      <w:r>
        <w:t xml:space="preserve">Revise the solid waste management plan to include higher targets for material recovery and recycling, reducing the reliance on landfilling.</w:t>
      </w:r>
    </w:p>
    <w:p>
      <w:pPr>
        <w:numPr>
          <w:ilvl w:val="0"/>
          <w:numId w:val="1001"/>
        </w:numPr>
        <w:pStyle w:val="Compact"/>
      </w:pPr>
      <w:r>
        <w:rPr>
          <w:bCs/>
          <w:b/>
        </w:rPr>
        <w:t xml:space="preserve">Continuous Education:</w:t>
      </w:r>
      <w:r>
        <w:t xml:space="preserve"> </w:t>
      </w:r>
      <w:r>
        <w:t xml:space="preserve">Participate in advanced training regarding the latest amendments to Uzbek environmental legislation to ensure ongoing compliance.</w:t>
      </w:r>
    </w:p>
    <w:bookmarkEnd w:id="28"/>
    <w:bookmarkStart w:id="29" w:name="conclusion"/>
    <w:p>
      <w:pPr>
        <w:pStyle w:val="Heading2"/>
      </w:pPr>
      <w:r>
        <w:t xml:space="preserve">7. Conclusion</w:t>
      </w:r>
    </w:p>
    <w:p>
      <w:pPr>
        <w:pStyle w:val="FirstParagraph"/>
      </w:pPr>
      <w:r>
        <w:t xml:space="preserve">In conclusion, the Environmental Engineer has demonstrated a high standard of technical expertise and a strong commitment to environmental stewardship within the challenging context of Tashkent, Uzbekistan. The work performed has significantly contributed to the sustainability of the project and the protection of the local environment. By addressing the recommendations outlined in this Peer Review Report, particularly regarding community engagement and technological innovation, the engineer will further elevate their professional standing and contribute more effectively to the ecological development of the region.</w:t>
      </w:r>
    </w:p>
    <w:p>
      <w:pPr>
        <w:pStyle w:val="BodyText"/>
      </w:pPr>
      <w:r>
        <w:rPr>
          <w:bCs/>
          <w:b/>
        </w:rPr>
        <w:t xml:space="preserve">Lead Reviewer:</w:t>
      </w:r>
    </w:p>
    <w:p>
      <w:pPr>
        <w:pStyle w:val="BodyText"/>
      </w:pPr>
      <w:r>
        <w:t xml:space="preserve">Dr. A. Karimov</w:t>
      </w:r>
    </w:p>
    <w:p>
      <w:pPr>
        <w:pStyle w:val="BodyText"/>
      </w:pPr>
      <w:r>
        <w:t xml:space="preserve">Senior Environmental Consultant</w:t>
      </w:r>
    </w:p>
    <w:p>
      <w:pPr>
        <w:pStyle w:val="BodyText"/>
      </w:pPr>
      <w:r>
        <w:rPr>
          <w:iCs/>
          <w:i/>
        </w:rPr>
        <w:t xml:space="preserve">Signature:</w:t>
      </w:r>
      <w:r>
        <w:t xml:space="preserve"> </w:t>
      </w:r>
      <w:r>
        <w:t xml:space="preserve">____________________</w:t>
      </w:r>
    </w:p>
    <w:p>
      <w:pPr>
        <w:pStyle w:val="BodyText"/>
      </w:pPr>
      <w:r>
        <w:rPr>
          <w:bCs/>
          <w:b/>
        </w:rPr>
        <w:t xml:space="preserve">Reviewed By:</w:t>
      </w:r>
    </w:p>
    <w:p>
      <w:pPr>
        <w:pStyle w:val="BodyText"/>
      </w:pPr>
      <w:r>
        <w:t xml:space="preserve">J. Smith</w:t>
      </w:r>
    </w:p>
    <w:p>
      <w:pPr>
        <w:pStyle w:val="BodyText"/>
      </w:pPr>
      <w:r>
        <w:t xml:space="preserve">Technical Director</w:t>
      </w:r>
    </w:p>
    <w:p>
      <w:pPr>
        <w:pStyle w:val="BodyText"/>
      </w:pPr>
      <w:r>
        <w:rPr>
          <w:iCs/>
          <w:i/>
        </w:rPr>
        <w:t xml:space="preserve">Signature:</w:t>
      </w:r>
      <w:r>
        <w:t xml:space="preserve"> </w:t>
      </w:r>
      <w:r>
        <w:t xml:space="preserve">____________________</w:t>
      </w:r>
    </w:p>
    <w:p>
      <w:pPr>
        <w:pStyle w:val="BodyText"/>
      </w:pPr>
      <w:r>
        <w:t xml:space="preserve">This document is confidential and intended solely for the use of the addressee. Unauthorized distribution is prohibited.</w:t>
      </w:r>
    </w:p>
    <w:p>
      <w:pPr>
        <w:pStyle w:val="BodyText"/>
      </w:pPr>
      <w:r>
        <w:t xml:space="preserve">Generated for Professional Assessment Purposes in Tashkent, Uzbekistan.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Tashkent, Uzbekistan</dc:title>
  <dc:creator/>
  <dc:language>en</dc:language>
  <cp:keywords/>
  <dcterms:created xsi:type="dcterms:W3CDTF">2026-10-10T08:49:03Z</dcterms:created>
  <dcterms:modified xsi:type="dcterms:W3CDTF">2026-10-10T08:49:03Z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