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Germany Frankfurt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collaborative contributions of the Financial Analyst based in our Germany Frankfurt office. As a key financial hub in Europe, Frankfurt demands a high level of precision, regulatory awareness, and strategic insight from its financial professionals. This review assesses how effectively the analyst has navigated the complexities of the local and international financial landscape while adhering to the rigorous standards expected within the German banking and corporate sectors.</w:t>
      </w:r>
    </w:p>
    <w:p>
      <w:pPr>
        <w:pStyle w:val="BodyText"/>
      </w:pPr>
      <w:r>
        <w:t xml:space="preserve">Overall, the Financial Analyst has demonstrated a strong command of financial modeling, data interpretation, and risk assessment. Their work has been instrumental in supporting senior management decisions regarding capital allocation and market expansion strategies within the DACH region. However, there are specific areas regarding cross-departmental communication and advanced regulatory compliance that require further development to meet the evolving demands of the Frankfurt financial ecosystem.</w:t>
      </w:r>
    </w:p>
    <w:bookmarkEnd w:id="21"/>
    <w:bookmarkStart w:id="22" w:name="X53bc4e96538f2529b562733e2f429ea6a135b0d"/>
    <w:p>
      <w:pPr>
        <w:pStyle w:val="Heading2"/>
      </w:pPr>
      <w:r>
        <w:t xml:space="preserve">2. Technical Competency and Analytical Rigor</w:t>
      </w:r>
    </w:p>
    <w:p>
      <w:pPr>
        <w:pStyle w:val="FirstParagraph"/>
      </w:pPr>
      <w:r>
        <w:t xml:space="preserve">The core responsibility of a Financial Analyst in Germany Frankfurt involves dissecting complex financial data to provide actionable insights. The subject has shown exceptional proficiency in building dynamic financial models using Excel and specialized software such as Bloomberg Terminal and SAP. Their ability to forecast cash flows and assess investment opportunities aligns well with the conservative yet growth-oriented nature of German corporate finance.</w:t>
      </w:r>
    </w:p>
    <w:p>
      <w:pPr>
        <w:pStyle w:val="BodyText"/>
      </w:pPr>
      <w:r>
        <w:t xml:space="preserve">Specifically, the analyst’s recent work on the quarterly variance analysis was thorough and accurate. They successfully identified discrepancies in operational expenditures that were previously overlooked, leading to a 5% reduction in unnecessary costs. This level of attention to detail is critical in Frankfurt, where financial reporting must adhere to strict German Commercial Code (HGB) and International Financial Reporting Standards (IFRS) requirements.</w:t>
      </w:r>
    </w:p>
    <w:p>
      <w:pPr>
        <w:pStyle w:val="BodyText"/>
      </w:pPr>
      <w:r>
        <w:t xml:space="preserve">Furthermore, the analyst has demonstrated a solid understanding of macroeconomic factors affecting the Eurozone. Their reports on interest rate fluctuations by the European Central Bank (ECB) have provided valuable context for our hedging strategies. This technical acumen ensures that our financial planning remains robust against market volatility.</w:t>
      </w:r>
    </w:p>
    <w:bookmarkEnd w:id="22"/>
    <w:bookmarkStart w:id="23" w:name="X101ecc4296dd6393e0a669a519e77b87c8106e0"/>
    <w:p>
      <w:pPr>
        <w:pStyle w:val="Heading2"/>
      </w:pPr>
      <w:r>
        <w:t xml:space="preserve">3. Regulatory Compliance and Risk Management</w:t>
      </w:r>
    </w:p>
    <w:p>
      <w:pPr>
        <w:pStyle w:val="FirstParagraph"/>
      </w:pPr>
      <w:r>
        <w:t xml:space="preserve">Operating in Germany Frankfurt places a Financial Analyst under the scrutiny of stringent regulatory bodies, including BaFin (Federal Financial Supervisory Authority). Compliance is not merely a procedural task but a fundamental aspect of the role. The analyst has consistently ensured that all financial projections and reports comply with local regulations and internal governance policies.</w:t>
      </w:r>
    </w:p>
    <w:p>
      <w:pPr>
        <w:pStyle w:val="BodyText"/>
      </w:pPr>
      <w:r>
        <w:t xml:space="preserve">During the review period, the analyst played a pivotal role in updating our risk management framework to align with new Basel III requirements. Their proactive approach to identifying potential liquidity risks has strengthened our financial resilience. However, while their knowledge of current regulations is strong, there is an opportunity to deepen their expertise in emerging fintech regulations and digital asset compliance, which are becoming increasingly relevant in Frankfurt’s evolving financial sector.</w:t>
      </w:r>
    </w:p>
    <w:bookmarkEnd w:id="23"/>
    <w:bookmarkStart w:id="24" w:name="collaboration-and-communication"/>
    <w:p>
      <w:pPr>
        <w:pStyle w:val="Heading2"/>
      </w:pPr>
      <w:r>
        <w:t xml:space="preserve">4. Collaboration and Communication</w:t>
      </w:r>
    </w:p>
    <w:p>
      <w:pPr>
        <w:pStyle w:val="FirstParagraph"/>
      </w:pPr>
      <w:r>
        <w:t xml:space="preserve">A Financial Analyst must effectively communicate complex financial concepts to stakeholders who may not have a financial background. In the multicultural environment of Germany Frankfurt, clear and concise communication is essential. The analyst has generally performed well in presenting data to the finance team, using visual aids and clear narratives to support their findings.</w:t>
      </w:r>
    </w:p>
    <w:p>
      <w:pPr>
        <w:pStyle w:val="BodyText"/>
      </w:pPr>
      <w:r>
        <w:t xml:space="preserve">However, feedback from peers in non-finance departments suggests that some reports are overly technical and lack strategic context. To improve, the analyst should focus on tailoring their communication style to different audiences, ensuring that key insights are accessible to operations, marketing, and executive leadership. Additionally, enhancing their German language skills, particularly in financial terminology, would facilitate smoother interactions with local partners and regulatory bodies.</w:t>
      </w:r>
    </w:p>
    <w:bookmarkEnd w:id="24"/>
    <w:bookmarkStart w:id="25" w:name="strategic-contribution-and-innovation"/>
    <w:p>
      <w:pPr>
        <w:pStyle w:val="Heading2"/>
      </w:pPr>
      <w:r>
        <w:t xml:space="preserve">5. Strategic Contribution and Innovation</w:t>
      </w:r>
    </w:p>
    <w:p>
      <w:pPr>
        <w:pStyle w:val="FirstParagraph"/>
      </w:pPr>
      <w:r>
        <w:t xml:space="preserve">Beyond routine analysis, a Financial Analyst in Germany Frankfurt is expected to contribute to the strategic direction of the organization. The subject has shown initiative by proposing the adoption of automated data analytics tools to streamline monthly reporting processes. This recommendation, if implemented, could save significant man-hours and reduce the risk of human error.</w:t>
      </w:r>
    </w:p>
    <w:p>
      <w:pPr>
        <w:pStyle w:val="BodyText"/>
      </w:pPr>
      <w:r>
        <w:t xml:space="preserve">The analyst has also been involved in evaluating potential mergers and acquisitions within the German market. Their due diligence reports have been comprehensive, considering not only financial metrics but also cultural and regulatory fit. This holistic approach is vital for successful integration in the German business environment.</w:t>
      </w:r>
    </w:p>
    <w:bookmarkEnd w:id="25"/>
    <w:bookmarkStart w:id="26" w:name="areas-for-improvement"/>
    <w:p>
      <w:pPr>
        <w:pStyle w:val="Heading2"/>
      </w:pPr>
      <w:r>
        <w:t xml:space="preserve">6. Areas for Improvement</w:t>
      </w:r>
    </w:p>
    <w:p>
      <w:pPr>
        <w:pStyle w:val="FirstParagraph"/>
      </w:pPr>
      <w:r>
        <w:t xml:space="preserve">While the Financial Analyst has performed admirably, the following areas require attention:</w:t>
      </w:r>
    </w:p>
    <w:p>
      <w:pPr>
        <w:numPr>
          <w:ilvl w:val="0"/>
          <w:numId w:val="1001"/>
        </w:numPr>
        <w:pStyle w:val="Compact"/>
      </w:pPr>
      <w:r>
        <w:rPr>
          <w:bCs/>
          <w:b/>
        </w:rPr>
        <w:t xml:space="preserve">Advanced Regulatory Knowledge:</w:t>
      </w:r>
      <w:r>
        <w:t xml:space="preserve"> </w:t>
      </w:r>
      <w:r>
        <w:t xml:space="preserve">Deepen understanding of fintech and digital asset regulations relevant to Frankfurt.</w:t>
      </w:r>
    </w:p>
    <w:p>
      <w:pPr>
        <w:numPr>
          <w:ilvl w:val="0"/>
          <w:numId w:val="1001"/>
        </w:numPr>
        <w:pStyle w:val="Compact"/>
      </w:pPr>
      <w:r>
        <w:rPr>
          <w:bCs/>
          <w:b/>
        </w:rPr>
        <w:t xml:space="preserve">Communication Skills:</w:t>
      </w:r>
      <w:r>
        <w:t xml:space="preserve"> </w:t>
      </w:r>
      <w:r>
        <w:t xml:space="preserve">Simplify technical jargon when presenting to non-finance stakeholders.</w:t>
      </w:r>
    </w:p>
    <w:p>
      <w:pPr>
        <w:numPr>
          <w:ilvl w:val="0"/>
          <w:numId w:val="1001"/>
        </w:numPr>
        <w:pStyle w:val="Compact"/>
      </w:pPr>
      <w:r>
        <w:rPr>
          <w:bCs/>
          <w:b/>
        </w:rPr>
        <w:t xml:space="preserve">Language Proficiency:</w:t>
      </w:r>
      <w:r>
        <w:t xml:space="preserve"> </w:t>
      </w:r>
      <w:r>
        <w:t xml:space="preserve">Improve German language skills to enhance local collaboration and regulatory engagement.</w:t>
      </w:r>
    </w:p>
    <w:p>
      <w:pPr>
        <w:numPr>
          <w:ilvl w:val="0"/>
          <w:numId w:val="1001"/>
        </w:numPr>
        <w:pStyle w:val="Compact"/>
      </w:pPr>
      <w:r>
        <w:rPr>
          <w:bCs/>
          <w:b/>
        </w:rPr>
        <w:t xml:space="preserve">Strategic Foresight:</w:t>
      </w:r>
      <w:r>
        <w:t xml:space="preserve"> </w:t>
      </w:r>
      <w:r>
        <w:t xml:space="preserve">Increase focus on long-term strategic implications of financial data rather than just short-term metrics.</w:t>
      </w:r>
    </w:p>
    <w:bookmarkEnd w:id="26"/>
    <w:bookmarkStart w:id="27" w:name="conclusion-and-recommendations"/>
    <w:p>
      <w:pPr>
        <w:pStyle w:val="Heading2"/>
      </w:pPr>
      <w:r>
        <w:t xml:space="preserve">7. Conclusion and Recommendations</w:t>
      </w:r>
    </w:p>
    <w:p>
      <w:pPr>
        <w:pStyle w:val="FirstParagraph"/>
      </w:pPr>
      <w:r>
        <w:t xml:space="preserve">In conclusion, the Financial Analyst has proven to be a valuable asset to our Germany Frankfurt office. Their technical skills, attention to detail, and commitment to compliance align well with the high standards of the region. By addressing the identified areas for improvement, particularly in communication and regulatory foresight, they can further enhance their impact and contribute more effectively to our strategic objectives.</w:t>
      </w:r>
    </w:p>
    <w:p>
      <w:pPr>
        <w:pStyle w:val="BodyText"/>
      </w:pPr>
      <w:r>
        <w:t xml:space="preserve">It is recommended that the analyst undergoes additional training in advanced regulatory frameworks and business communication. Regular feedback sessions and mentorship opportunities with senior finance leaders in Frankfurt will also support their professional growth.</w:t>
      </w:r>
    </w:p>
    <w:bookmarkEnd w:id="27"/>
    <w:p>
      <w:pPr>
        <w:pStyle w:val="BodyText"/>
      </w:pPr>
      <w:r>
        <w:rPr>
          <w:bCs/>
          <w:b/>
        </w:rPr>
        <w:t xml:space="preserve">Reviewed by:</w:t>
      </w:r>
    </w:p>
    <w:p>
      <w:pPr>
        <w:pStyle w:val="BodyText"/>
      </w:pPr>
      <w:r>
        <w:t xml:space="preserve">Senior Finance Manager</w:t>
      </w:r>
    </w:p>
    <w:p>
      <w:pPr>
        <w:pStyle w:val="BodyText"/>
      </w:pPr>
      <w:r>
        <w:t xml:space="preserve">Germany Frankfurt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Frankfurt, Germany</dc:title>
  <dc:creator/>
  <dc:language>en</dc:language>
  <cp:keywords/>
  <dcterms:created xsi:type="dcterms:W3CDTF">2026-10-10T03:53:08Z</dcterms:created>
  <dcterms:modified xsi:type="dcterms:W3CDTF">2026-10-10T03:53:08Z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