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Amsterdam,</w:t>
      </w:r>
      <w:r>
        <w:t xml:space="preserve"> </w:t>
      </w:r>
      <w:r>
        <w:t xml:space="preserve">Netherlands</w:t>
      </w:r>
    </w:p>
    <w:bookmarkStart w:id="27" w:name="peer-review-report"/>
    <w:p>
      <w:pPr>
        <w:pStyle w:val="Heading1"/>
      </w:pPr>
      <w:r>
        <w:t xml:space="preserve">Peer Review Report</w:t>
      </w:r>
    </w:p>
    <w:p>
      <w:pPr>
        <w:pStyle w:val="FirstParagraph"/>
      </w:pPr>
      <w:r>
        <w:t xml:space="preserve">Employee Name:</w:t>
      </w:r>
      <w:r>
        <w:t xml:space="preserve"> </w:t>
      </w:r>
      <w:r>
        <w:t xml:space="preserve">[Insert Name]</w:t>
      </w:r>
    </w:p>
    <w:p>
      <w:pPr>
        <w:pStyle w:val="BodyText"/>
      </w:pPr>
      <w:r>
        <w:t xml:space="preserve">Position:</w:t>
      </w:r>
      <w:r>
        <w:t xml:space="preserve"> </w:t>
      </w:r>
      <w:r>
        <w:t xml:space="preserve">Financial Analyst</w:t>
      </w:r>
    </w:p>
    <w:p>
      <w:pPr>
        <w:pStyle w:val="BodyText"/>
      </w:pPr>
      <w:r>
        <w:t xml:space="preserve">Department:</w:t>
      </w:r>
      <w:r>
        <w:t xml:space="preserve"> </w:t>
      </w:r>
      <w:r>
        <w:t xml:space="preserve">Finance &amp; Accounting</w:t>
      </w:r>
    </w:p>
    <w:p>
      <w:pPr>
        <w:pStyle w:val="BodyText"/>
      </w:pPr>
      <w:r>
        <w:t xml:space="preserve">Location:</w:t>
      </w:r>
      <w:r>
        <w:t xml:space="preserve"> </w:t>
      </w:r>
      <w:r>
        <w:t xml:space="preserve">Amsterdam, Netherlands</w:t>
      </w:r>
    </w:p>
    <w:p>
      <w:pPr>
        <w:pStyle w:val="BodyText"/>
      </w:pPr>
      <w:r>
        <w:t xml:space="preserve">Reviewer Name:</w:t>
      </w:r>
      <w:r>
        <w:t xml:space="preserve"> </w:t>
      </w:r>
      <w:r>
        <w:t xml:space="preserve">[Insert Reviewer Name]</w:t>
      </w:r>
    </w:p>
    <w:p>
      <w:pPr>
        <w:pStyle w:val="BodyText"/>
      </w:pPr>
      <w:r>
        <w:t xml:space="preserve">Reviewer Role:</w:t>
      </w:r>
      <w:r>
        <w:t xml:space="preserve"> </w:t>
      </w:r>
      <w:r>
        <w:t xml:space="preserve">Senior Financial Analyst / Team Lead</w:t>
      </w:r>
    </w:p>
    <w:p>
      <w:pPr>
        <w:pStyle w:val="BodyText"/>
      </w:pPr>
      <w:r>
        <w:t xml:space="preserve">Review Period:</w:t>
      </w:r>
      <w:r>
        <w:t xml:space="preserve"> </w:t>
      </w:r>
      <w:r>
        <w:t xml:space="preserve">[Start Date] to [End Date]</w:t>
      </w:r>
    </w:p>
    <w:p>
      <w:pPr>
        <w:pStyle w:val="BodyText"/>
      </w:pPr>
      <w:r>
        <w:t xml:space="preserve">Date of Report:</w:t>
      </w:r>
      <w:r>
        <w:t xml:space="preserve"> </w:t>
      </w:r>
      <w:r>
        <w:t xml:space="preserve">[Current Date]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collaborative contributions of the subject</w:t>
      </w:r>
      <w:r>
        <w:t xml:space="preserve"> </w:t>
      </w:r>
      <w:r>
        <w:rPr>
          <w:bCs/>
          <w:b/>
        </w:rPr>
        <w:t xml:space="preserve">Financial Analyst</w:t>
      </w:r>
      <w:r>
        <w:t xml:space="preserve"> </w:t>
      </w:r>
      <w:r>
        <w:t xml:space="preserve">based in our</w:t>
      </w:r>
      <w:r>
        <w:t xml:space="preserve"> </w:t>
      </w:r>
      <w:r>
        <w:rPr>
          <w:bCs/>
          <w:b/>
        </w:rPr>
        <w:t xml:space="preserve">Netherlands Amsterdam</w:t>
      </w:r>
      <w:r>
        <w:t xml:space="preserve"> </w:t>
      </w:r>
      <w:r>
        <w:t xml:space="preserve">office. The purpose of this document is to provide an objective assessment of the analyst's ability to navigate the complex financial landscape of the Dutch market while adhering to international accounting standards.</w:t>
      </w:r>
    </w:p>
    <w:p>
      <w:pPr>
        <w:pStyle w:val="BodyText"/>
      </w:pPr>
      <w:r>
        <w:t xml:space="preserve">Operating within Amsterdam—a global hub for fintech and sustainable finance—requires a Financial Analyst to possess not only rigorous quantitative skills but also a nuanced understanding of local regulatory frameworks, such as those enforced by the Autoriteit Financiële Markten (AFM). This report details the analyst's performance over the specified review period, highlighting strengths in data modeling and areas requiring development in cross-functional communication.</w:t>
      </w:r>
    </w:p>
    <w:bookmarkEnd w:id="20"/>
    <w:bookmarkStart w:id="21" w:name="Xcf2314001a29852e67751e2cf5c4f85f442d5f3"/>
    <w:p>
      <w:pPr>
        <w:pStyle w:val="Heading2"/>
      </w:pPr>
      <w:r>
        <w:t xml:space="preserve">2. Technical Competency and Financial Modeling</w:t>
      </w:r>
    </w:p>
    <w:p>
      <w:pPr>
        <w:pStyle w:val="FirstParagraph"/>
      </w:pPr>
      <w:r>
        <w:t xml:space="preserve">A core responsibility of the</w:t>
      </w:r>
      <w:r>
        <w:t xml:space="preserve"> </w:t>
      </w:r>
      <w:r>
        <w:rPr>
          <w:bCs/>
          <w:b/>
        </w:rPr>
        <w:t xml:space="preserve">Financial Analyst</w:t>
      </w:r>
      <w:r>
        <w:t xml:space="preserve"> </w:t>
      </w:r>
      <w:r>
        <w:t xml:space="preserve">role is the creation and maintenance of robust financial models. During this review period, the analyst demonstrated a high level of proficiency in Excel and advanced data visualization tools such as Power BI and Tableau.</w:t>
      </w:r>
    </w:p>
    <w:p>
      <w:pPr>
        <w:pStyle w:val="BodyText"/>
      </w:pPr>
      <w:r>
        <w:t xml:space="preserve">Specifically, the analyst was tasked with forecasting revenue streams for our European operations. The models produced were accurate, logically structured, and easily auditable. The ability to integrate local</w:t>
      </w:r>
      <w:r>
        <w:t xml:space="preserve"> </w:t>
      </w:r>
      <w:r>
        <w:rPr>
          <w:bCs/>
          <w:b/>
        </w:rPr>
        <w:t xml:space="preserve">Netherlands Amsterdam</w:t>
      </w:r>
      <w:r>
        <w:t xml:space="preserve"> </w:t>
      </w:r>
      <w:r>
        <w:t xml:space="preserve">economic indicators—such as inflation rates and labor market trends—into these forecasts was particularly impressive. This localized approach ensured that our strategic planning was grounded in the reality of the Dutch market.</w:t>
      </w:r>
    </w:p>
    <w:p>
      <w:pPr>
        <w:pStyle w:val="BodyText"/>
      </w:pPr>
      <w:r>
        <w:t xml:space="preserve">Furthermore, the analyst showed a strong grasp of Generally Accepted Accounting Principles (GAAP) and International Financial Reporting Standards (IFRS), which are critical for our reporting requirements in the Netherlands. Their attention to detail in variance analysis helped the department identify cost-saving opportunities in our Amsterdam office operations.</w:t>
      </w:r>
    </w:p>
    <w:bookmarkEnd w:id="21"/>
    <w:bookmarkStart w:id="22" w:name="Xd956bc937ce7c5b0dd78edb7b7c973aaa8aed6a"/>
    <w:p>
      <w:pPr>
        <w:pStyle w:val="Heading2"/>
      </w:pPr>
      <w:r>
        <w:t xml:space="preserve">3. Regulatory Compliance and Market Knowledge</w:t>
      </w:r>
    </w:p>
    <w:p>
      <w:pPr>
        <w:pStyle w:val="FirstParagraph"/>
      </w:pPr>
      <w:r>
        <w:t xml:space="preserve">Working as a</w:t>
      </w:r>
      <w:r>
        <w:t xml:space="preserve"> </w:t>
      </w:r>
      <w:r>
        <w:rPr>
          <w:bCs/>
          <w:b/>
        </w:rPr>
        <w:t xml:space="preserve">Financial Analyst</w:t>
      </w:r>
      <w:r>
        <w:t xml:space="preserve"> </w:t>
      </w:r>
      <w:r>
        <w:t xml:space="preserve">in</w:t>
      </w:r>
      <w:r>
        <w:t xml:space="preserve"> </w:t>
      </w:r>
      <w:r>
        <w:rPr>
          <w:bCs/>
          <w:b/>
        </w:rPr>
        <w:t xml:space="preserve">Netherlands Amsterdam</w:t>
      </w:r>
      <w:r>
        <w:t xml:space="preserve"> </w:t>
      </w:r>
      <w:r>
        <w:t xml:space="preserve">demands strict adherence to local and EU financial regulations. This</w:t>
      </w:r>
      <w:r>
        <w:t xml:space="preserve"> </w:t>
      </w:r>
      <w:r>
        <w:rPr>
          <w:bCs/>
          <w:b/>
        </w:rPr>
        <w:t xml:space="preserve">Peer Review Report</w:t>
      </w:r>
      <w:r>
        <w:t xml:space="preserve"> </w:t>
      </w:r>
      <w:r>
        <w:t xml:space="preserve">confirms that the subject has maintained a high standard of compliance.</w:t>
      </w:r>
    </w:p>
    <w:p>
      <w:pPr>
        <w:pStyle w:val="BodyText"/>
      </w:pPr>
      <w:r>
        <w:t xml:space="preserve">The analyst actively participated in workshops regarding the implementation of new EU sustainability reporting directives (CSRD). Their ability to translate these complex regulatory requirements into actionable financial metrics for the Amsterdam team was a significant asset. They ensured that all financial data handled was compliant with GDPR, a crucial consideration for data privacy in the Netherlands.</w:t>
      </w:r>
    </w:p>
    <w:p>
      <w:pPr>
        <w:pStyle w:val="BodyText"/>
      </w:pPr>
      <w:r>
        <w:t xml:space="preserve">Additionally, the analyst demonstrated an understanding of the Dutch tax environment, including corporate income tax nuances and VAT regulations. This knowledge minimized the risk of compliance errors during the quarterly reporting cycle.</w:t>
      </w:r>
    </w:p>
    <w:bookmarkEnd w:id="22"/>
    <w:bookmarkStart w:id="23" w:name="collaboration-and-communication"/>
    <w:p>
      <w:pPr>
        <w:pStyle w:val="Heading2"/>
      </w:pPr>
      <w:r>
        <w:t xml:space="preserve">4. Collaboration and Communication</w:t>
      </w:r>
    </w:p>
    <w:p>
      <w:pPr>
        <w:pStyle w:val="FirstParagraph"/>
      </w:pPr>
      <w:r>
        <w:t xml:space="preserve">The Amsterdam office culture is characterized by directness, pragmatism, and a flat hierarchy. This</w:t>
      </w:r>
      <w:r>
        <w:t xml:space="preserve"> </w:t>
      </w:r>
      <w:r>
        <w:rPr>
          <w:bCs/>
          <w:b/>
        </w:rPr>
        <w:t xml:space="preserve">Peer Review Report</w:t>
      </w:r>
      <w:r>
        <w:t xml:space="preserve"> </w:t>
      </w:r>
      <w:r>
        <w:t xml:space="preserve">evaluates how well the</w:t>
      </w:r>
      <w:r>
        <w:t xml:space="preserve"> </w:t>
      </w:r>
      <w:r>
        <w:rPr>
          <w:bCs/>
          <w:b/>
        </w:rPr>
        <w:t xml:space="preserve">Financial Analyst</w:t>
      </w:r>
      <w:r>
        <w:t xml:space="preserve"> </w:t>
      </w:r>
      <w:r>
        <w:t xml:space="preserve">integrates into this specific cultural environment.</w:t>
      </w:r>
    </w:p>
    <w:p>
      <w:pPr>
        <w:pStyle w:val="BodyText"/>
      </w:pPr>
      <w:r>
        <w:t xml:space="preserve">The analyst has shown excellent collaboration skills, frequently engaging with the sales and operations teams to gather data for budgeting processes. Their communication style is clear and concise, aligning well with the Dutch business culture which values efficiency and transparency. They are not afraid to challenge assumptions during budget meetings, provided they back their arguments with solid data.</w:t>
      </w:r>
    </w:p>
    <w:p>
      <w:pPr>
        <w:pStyle w:val="BodyText"/>
      </w:pPr>
      <w:r>
        <w:t xml:space="preserve">However, there is room for improvement in presenting complex financial data to non-financial stakeholders. While the technical accuracy is flawless, the narrative surrounding the data can sometimes be too dense. Simplifying the "story" behind the numbers will enhance their influence across the wider organization.</w:t>
      </w:r>
    </w:p>
    <w:bookmarkEnd w:id="23"/>
    <w:bookmarkStart w:id="24" w:name="performance-metrics-and-rating"/>
    <w:p>
      <w:pPr>
        <w:pStyle w:val="Heading2"/>
      </w:pPr>
      <w:r>
        <w:t xml:space="preserve">5. Performance Metrics and Rating</w:t>
      </w:r>
    </w:p>
    <w:p>
      <w:pPr>
        <w:pStyle w:val="FirstParagraph"/>
      </w:pPr>
      <w:r>
        <w:t xml:space="preserve">The following table summarizes the performance ratings based on the criteria outlined above. The scale is: 1 (Needs Improvement), 2 (Developing), 3 (Meets Expectations), 4 (Exceeds Expectations), 5 (Outstanding).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Financial Modeling &amp; Analysis</w:t>
            </w:r>
          </w:p>
        </w:tc>
        <w:tc>
          <w:tcPr/>
          <w:p>
            <w:pPr>
              <w:pStyle w:val="Compact"/>
              <w:jc w:val="left"/>
            </w:pPr>
            <w:r>
              <w:t xml:space="preserve">5</w:t>
            </w:r>
          </w:p>
        </w:tc>
        <w:tc>
          <w:tcPr/>
          <w:p>
            <w:pPr>
              <w:pStyle w:val="Compact"/>
              <w:jc w:val="left"/>
            </w:pPr>
            <w:r>
              <w:t xml:space="preserve">Exceptional accuracy and complexity in models tailored to the Amsterdam market.</w:t>
            </w:r>
          </w:p>
        </w:tc>
      </w:tr>
      <w:tr>
        <w:tc>
          <w:tcPr/>
          <w:p>
            <w:pPr>
              <w:pStyle w:val="Compact"/>
              <w:jc w:val="left"/>
            </w:pPr>
            <w:r>
              <w:t xml:space="preserve">Regulatory Knowledge (NL/EU)</w:t>
            </w:r>
          </w:p>
        </w:tc>
        <w:tc>
          <w:tcPr/>
          <w:p>
            <w:pPr>
              <w:pStyle w:val="Compact"/>
              <w:jc w:val="left"/>
            </w:pPr>
            <w:r>
              <w:t xml:space="preserve">4</w:t>
            </w:r>
          </w:p>
        </w:tc>
        <w:tc>
          <w:tcPr/>
          <w:p>
            <w:pPr>
              <w:pStyle w:val="Compact"/>
              <w:jc w:val="left"/>
            </w:pPr>
            <w:r>
              <w:t xml:space="preserve">Strong understanding of AFM and GDPR requirements; proactive in learning.</w:t>
            </w:r>
          </w:p>
        </w:tc>
      </w:tr>
      <w:tr>
        <w:tc>
          <w:tcPr/>
          <w:p>
            <w:pPr>
              <w:pStyle w:val="Compact"/>
              <w:jc w:val="left"/>
            </w:pPr>
            <w:r>
              <w:t xml:space="preserve">Communication Skills</w:t>
            </w:r>
          </w:p>
        </w:tc>
        <w:tc>
          <w:tcPr/>
          <w:p>
            <w:pPr>
              <w:pStyle w:val="Compact"/>
              <w:jc w:val="left"/>
            </w:pPr>
            <w:r>
              <w:t xml:space="preserve">3</w:t>
            </w:r>
          </w:p>
        </w:tc>
        <w:tc>
          <w:tcPr/>
          <w:p>
            <w:pPr>
              <w:pStyle w:val="Compact"/>
              <w:jc w:val="left"/>
            </w:pPr>
            <w:r>
              <w:t xml:space="preserve">Clear and direct, but needs to simplify technical jargon for broader audiences.</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Integrates well with the local team culture; reliable and supportive.</w:t>
            </w:r>
          </w:p>
        </w:tc>
      </w:tr>
      <w:tr>
        <w:tc>
          <w:tcPr/>
          <w:p>
            <w:pPr>
              <w:pStyle w:val="Compact"/>
              <w:jc w:val="left"/>
            </w:pPr>
            <w:r>
              <w:t xml:space="preserve">Problem Solving</w:t>
            </w:r>
          </w:p>
        </w:tc>
        <w:tc>
          <w:tcPr/>
          <w:p>
            <w:pPr>
              <w:pStyle w:val="Compact"/>
              <w:jc w:val="left"/>
            </w:pPr>
            <w:r>
              <w:t xml:space="preserve">4</w:t>
            </w:r>
          </w:p>
        </w:tc>
        <w:tc>
          <w:tcPr/>
          <w:p>
            <w:pPr>
              <w:pStyle w:val="Compact"/>
              <w:jc w:val="left"/>
            </w:pPr>
            <w:r>
              <w:t xml:space="preserve">Identifies root causes of financial variances effectively.</w:t>
            </w:r>
          </w:p>
        </w:tc>
      </w:tr>
    </w:tbl>
    <w:bookmarkEnd w:id="24"/>
    <w:bookmarkStart w:id="25" w:name="areas-for-development"/>
    <w:p>
      <w:pPr>
        <w:pStyle w:val="Heading2"/>
      </w:pPr>
      <w:r>
        <w:t xml:space="preserve">6. Areas for Development</w:t>
      </w:r>
    </w:p>
    <w:p>
      <w:pPr>
        <w:pStyle w:val="FirstParagraph"/>
      </w:pPr>
      <w:r>
        <w:t xml:space="preserve">To further enhance their value as a</w:t>
      </w:r>
      <w:r>
        <w:t xml:space="preserve"> </w:t>
      </w:r>
      <w:r>
        <w:rPr>
          <w:bCs/>
          <w:b/>
        </w:rPr>
        <w:t xml:space="preserve">Financial Analyst</w:t>
      </w:r>
      <w:r>
        <w:t xml:space="preserve"> </w:t>
      </w:r>
      <w:r>
        <w:t xml:space="preserve">within our</w:t>
      </w:r>
      <w:r>
        <w:t xml:space="preserve"> </w:t>
      </w:r>
      <w:r>
        <w:rPr>
          <w:bCs/>
          <w:b/>
        </w:rPr>
        <w:t xml:space="preserve">Netherlands Amsterdam</w:t>
      </w:r>
      <w:r>
        <w:t xml:space="preserve"> </w:t>
      </w:r>
      <w:r>
        <w:t xml:space="preserve">branch, the following development goals are recommended:</w:t>
      </w:r>
    </w:p>
    <w:p>
      <w:pPr>
        <w:numPr>
          <w:ilvl w:val="0"/>
          <w:numId w:val="1001"/>
        </w:numPr>
        <w:pStyle w:val="Compact"/>
      </w:pPr>
      <w:r>
        <w:rPr>
          <w:bCs/>
          <w:b/>
        </w:rPr>
        <w:t xml:space="preserve">Advanced Data Analytics:</w:t>
      </w:r>
      <w:r>
        <w:t xml:space="preserve"> </w:t>
      </w:r>
      <w:r>
        <w:t xml:space="preserve">Pursue certification in Python or SQL to automate repetitive reporting tasks and handle larger datasets more efficiently.</w:t>
      </w:r>
    </w:p>
    <w:p>
      <w:pPr>
        <w:numPr>
          <w:ilvl w:val="0"/>
          <w:numId w:val="1001"/>
        </w:numPr>
        <w:pStyle w:val="Compact"/>
      </w:pPr>
      <w:r>
        <w:rPr>
          <w:bCs/>
          <w:b/>
        </w:rPr>
        <w:t xml:space="preserve">Stakeholder Management:</w:t>
      </w:r>
      <w:r>
        <w:t xml:space="preserve"> </w:t>
      </w:r>
      <w:r>
        <w:t xml:space="preserve">Focus on storytelling with data. Practice presenting financial insights to executive leadership in a way that drives decision-making without overwhelming them with technical details.</w:t>
      </w:r>
    </w:p>
    <w:p>
      <w:pPr>
        <w:numPr>
          <w:ilvl w:val="0"/>
          <w:numId w:val="1001"/>
        </w:numPr>
        <w:pStyle w:val="Compact"/>
      </w:pPr>
      <w:r>
        <w:rPr>
          <w:bCs/>
          <w:b/>
        </w:rPr>
        <w:t xml:space="preserve">Strategic Finance:</w:t>
      </w:r>
      <w:r>
        <w:t xml:space="preserve"> </w:t>
      </w:r>
      <w:r>
        <w:t xml:space="preserve">Move beyond historical analysis to contribute more to long-term strategic planning, specifically regarding market expansion within the Benelux region.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Financial Analyst</w:t>
      </w:r>
      <w:r>
        <w:t xml:space="preserve"> </w:t>
      </w:r>
      <w:r>
        <w:t xml:space="preserve">who adds significant value to our operations in</w:t>
      </w:r>
      <w:r>
        <w:t xml:space="preserve"> </w:t>
      </w:r>
      <w:r>
        <w:rPr>
          <w:bCs/>
          <w:b/>
        </w:rPr>
        <w:t xml:space="preserve">Netherlands Amsterdam</w:t>
      </w:r>
      <w:r>
        <w:t xml:space="preserve">. Their technical skills are top-tier, and their understanding of the local regulatory environment is robust. With continued focus on communication and strategic thinking, they are well-positioned for future growth within the organization.</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Employee Acknowledgement:</w:t>
      </w:r>
    </w:p>
    <w:p>
      <w:pPr>
        <w:pStyle w:val="BodyText"/>
      </w:pPr>
      <w:r>
        <w:t xml:space="preserve">[Signature]</w:t>
      </w:r>
    </w:p>
    <w:p>
      <w:pPr>
        <w:pStyle w:val="BodyText"/>
      </w:pPr>
      <w:r>
        <w:rPr>
          <w:bCs/>
          <w:b/>
        </w:rPr>
        <w:t xml:space="preserve">Name:</w:t>
      </w:r>
      <w:r>
        <w:t xml:space="preserve"> </w:t>
      </w:r>
      <w:r>
        <w:t xml:space="preserve">[Employee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Amsterdam, Netherlands</dc:title>
  <dc:creator/>
  <dc:language>en</dc:language>
  <cp:keywords/>
  <dcterms:created xsi:type="dcterms:W3CDTF">2026-10-10T04:13:19Z</dcterms:created>
  <dcterms:modified xsi:type="dcterms:W3CDTF">2026-10-10T04:13:19Z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