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Lima, Peru</w:t>
      </w:r>
    </w:p>
    <w:bookmarkEnd w:id="20"/>
    <w:p>
      <w:pPr>
        <w:pStyle w:val="BodyText"/>
      </w:pPr>
      <w:r>
        <w:rPr>
          <w:bCs/>
          <w:b/>
        </w:rPr>
        <w:t xml:space="preserve">Employee Name:</w:t>
      </w:r>
      <w:r>
        <w:t xml:space="preserve"> </w:t>
      </w:r>
      <w:r>
        <w:t xml:space="preserve">[Insert Name]</w:t>
      </w:r>
    </w:p>
    <w:p>
      <w:pPr>
        <w:pStyle w:val="BodyText"/>
      </w:pPr>
      <w:r>
        <w:rPr>
          <w:bCs/>
          <w:b/>
        </w:rPr>
        <w:t xml:space="preserve">Review Period:</w:t>
      </w:r>
      <w:r>
        <w:t xml:space="preserve"> </w:t>
      </w:r>
      <w:r>
        <w:t xml:space="preserve">January 2024 – December 2024</w:t>
      </w:r>
    </w:p>
    <w:p>
      <w:pPr>
        <w:pStyle w:val="BodyText"/>
      </w:pPr>
      <w:r>
        <w:rPr>
          <w:bCs/>
          <w:b/>
        </w:rPr>
        <w:t xml:space="preserve">Department:</w:t>
      </w:r>
      <w:r>
        <w:t xml:space="preserve"> </w:t>
      </w:r>
      <w:r>
        <w:t xml:space="preserve">Corporate Finance &amp; Strategy</w:t>
      </w:r>
    </w:p>
    <w:p>
      <w:pPr>
        <w:pStyle w:val="BodyText"/>
      </w:pPr>
      <w:r>
        <w:rPr>
          <w:bCs/>
          <w:b/>
        </w:rPr>
        <w:t xml:space="preserve">Reviewer:</w:t>
      </w:r>
      <w:r>
        <w:t xml:space="preserve"> </w:t>
      </w:r>
      <w:r>
        <w:t xml:space="preserve">Senior Finance Manager</w:t>
      </w:r>
    </w:p>
    <w:p>
      <w:pPr>
        <w:pStyle w:val="BodyText"/>
      </w:pPr>
      <w:r>
        <w:rPr>
          <w:bCs/>
          <w:b/>
        </w:rPr>
        <w:t xml:space="preserve">Date of Report:</w:t>
      </w:r>
      <w:r>
        <w:t xml:space="preserve"> </w:t>
      </w:r>
      <w:r>
        <w:t xml:space="preserve">January 15, 2025</w:t>
      </w:r>
    </w:p>
    <w:p>
      <w:pPr>
        <w:pStyle w:val="BodyText"/>
      </w:pPr>
      <w:r>
        <w:rPr>
          <w:bCs/>
          <w:b/>
        </w:rPr>
        <w:t xml:space="preserve">Location:</w:t>
      </w:r>
      <w:r>
        <w:t xml:space="preserve"> </w:t>
      </w:r>
      <w:r>
        <w:t xml:space="preserve">San Isidro, Lima, Peru</w:t>
      </w:r>
    </w:p>
    <w:bookmarkStart w:id="21" w:name="executive-summary"/>
    <w:p>
      <w:pPr>
        <w:pStyle w:val="Heading2"/>
      </w:pPr>
      <w:r>
        <w:t xml:space="preserve">1. Executive Summary</w:t>
      </w:r>
    </w:p>
    <w:p>
      <w:pPr>
        <w:pStyle w:val="FirstParagraph"/>
      </w:pPr>
      <w:r>
        <w:t xml:space="preserve">This Peer Review Report serves as a comprehensive assessment of the performance, technical proficiency, and professional conduct of the Financial Analyst based in our Lima headquarters. The review focuses on the individual's contribution to the financial health of the organization within the specific economic context of Peru. Over the past twelve months, the analyst has demonstrated a robust understanding of local fiscal regulations, including those enforced by the Superintendencia Nacional de Aduanas y de Administración Tributaria (SUNAT), while maintaining high standards of analytical rigor. This document outlines key achievements, areas requiring development, and strategic recommendations for the upcoming fiscal year.</w:t>
      </w:r>
    </w:p>
    <w:bookmarkEnd w:id="21"/>
    <w:bookmarkStart w:id="22" w:name="Xcf2314001a29852e67751e2cf5c4f85f442d5f3"/>
    <w:p>
      <w:pPr>
        <w:pStyle w:val="Heading2"/>
      </w:pPr>
      <w:r>
        <w:t xml:space="preserve">2. Technical Competency and Financial Modeling</w:t>
      </w:r>
    </w:p>
    <w:p>
      <w:pPr>
        <w:pStyle w:val="FirstParagraph"/>
      </w:pPr>
      <w:r>
        <w:t xml:space="preserve">The core responsibility of a Financial Analyst in our Lima office involves the creation of complex financial models to forecast revenue and manage liquidity. The subject has shown exceptional skill in utilizing advanced Excel functions and ERP systems tailored to the Peruvian market.</w:t>
      </w:r>
    </w:p>
    <w:p>
      <w:pPr>
        <w:pStyle w:val="BodyText"/>
      </w:pPr>
      <w:r>
        <w:t xml:space="preserve">Specifically, the analyst successfully managed the Q3 budget variance analysis, identifying a 4% discrepancy in operational costs related to logistics in the Callao port area. By adjusting the forecasting model to account for local inflation rates and currency fluctuation risks between the Peruvian Sol (PEN) and the US Dollar (USD), the analyst provided actionable insights that saved the department approximately 15,000 PEN in projected losses. This demonstrates a high level of adaptability to the volatile economic conditions often present in the region.</w:t>
      </w:r>
    </w:p>
    <w:bookmarkEnd w:id="22"/>
    <w:bookmarkStart w:id="23" w:name="Xec8f6c9fe2c0670b1854a6eceed06dc5b276ee2"/>
    <w:p>
      <w:pPr>
        <w:pStyle w:val="Heading2"/>
      </w:pPr>
      <w:r>
        <w:t xml:space="preserve">3. Regulatory Compliance and Local Market Knowledge</w:t>
      </w:r>
    </w:p>
    <w:p>
      <w:pPr>
        <w:pStyle w:val="FirstParagraph"/>
      </w:pPr>
      <w:r>
        <w:t xml:space="preserve">Operating in Lima requires a nuanced understanding of Peruvian commercial law and tax codes. A critical component of this Peer Review Report is the evaluation of the analyst's compliance adherence. The subject has maintained a flawless record regarding the preparation of monthly tax filings and VAT (IGV) reconciliations.</w:t>
      </w:r>
    </w:p>
    <w:p>
      <w:pPr>
        <w:pStyle w:val="BodyText"/>
      </w:pPr>
      <w:r>
        <w:t xml:space="preserve">Furthermore, the analyst played a pivotal role in ensuring our financial reporting aligned with the latest updates from the Consejo Normativo de Contabilidad y Auditoría (CONAC). Their ability to interpret local regulations and translate them into internal financial policies has significantly reduced our audit risk. This local expertise is invaluable for a Financial Analyst operating in this jurisdiction, distinguishing them from generalist candidates.</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vital for a Financial Analyst who must bridge the gap between raw data and executive decision-making. The subject has demonstrated strong interpersonal skills, particularly in presenting financial reports to the regional board.</w:t>
      </w:r>
    </w:p>
    <w:p>
      <w:pPr>
        <w:pStyle w:val="BodyText"/>
      </w:pPr>
      <w:r>
        <w:t xml:space="preserve">During the annual strategy meeting held in Miraflores, the analyst presented a clear, data-driven analysis of market expansion opportunities in the southern regions of Peru. Their ability to articulate complex financial concepts in both Spanish and English facilitated better understanding among international stakeholders. However, there is room for improvement in proactive communication; occasionally, critical updates regarding cash flow constraints were delayed, which impacted short-term liquidity planning.</w:t>
      </w:r>
    </w:p>
    <w:bookmarkEnd w:id="24"/>
    <w:bookmarkStart w:id="25" w:name="performance-metrics-and-rating"/>
    <w:p>
      <w:pPr>
        <w:pStyle w:val="Heading2"/>
      </w:pPr>
      <w:r>
        <w:t xml:space="preserve">5. Performance Metrics and Rating</w:t>
      </w:r>
    </w:p>
    <w:p>
      <w:pPr>
        <w:pStyle w:val="FirstParagraph"/>
      </w:pPr>
      <w:r>
        <w:t xml:space="preserve">The following table summarizes the performance ratings based on the key performance indicators (KPIs) established at the beginning of the review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Competency Area</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Financial Modeling Accuracy</w:t>
            </w:r>
          </w:p>
        </w:tc>
        <w:tc>
          <w:tcPr/>
          <w:p>
            <w:pPr>
              <w:pStyle w:val="Compact"/>
              <w:jc w:val="left"/>
            </w:pPr>
            <w:r>
              <w:t xml:space="preserve">Precision in forecasting and variance analysis.</w:t>
            </w:r>
          </w:p>
        </w:tc>
        <w:tc>
          <w:tcPr/>
          <w:p>
            <w:pPr>
              <w:pStyle w:val="Compact"/>
              <w:jc w:val="left"/>
            </w:pPr>
            <w:r>
              <w:t xml:space="preserve">5 - Exceeds Expectations</w:t>
            </w:r>
          </w:p>
        </w:tc>
      </w:tr>
      <w:tr>
        <w:tc>
          <w:tcPr/>
          <w:p>
            <w:pPr>
              <w:pStyle w:val="Compact"/>
              <w:jc w:val="left"/>
            </w:pPr>
            <w:r>
              <w:t xml:space="preserve">Regulatory Compliance</w:t>
            </w:r>
          </w:p>
        </w:tc>
        <w:tc>
          <w:tcPr/>
          <w:p>
            <w:pPr>
              <w:pStyle w:val="Compact"/>
              <w:jc w:val="left"/>
            </w:pPr>
            <w:r>
              <w:t xml:space="preserve">Adherence to SUNAT and CONAC standards.</w:t>
            </w:r>
          </w:p>
        </w:tc>
        <w:tc>
          <w:tcPr/>
          <w:p>
            <w:pPr>
              <w:pStyle w:val="Compact"/>
              <w:jc w:val="left"/>
            </w:pPr>
            <w:r>
              <w:t xml:space="preserve">5 - Exceeds Expectations</w:t>
            </w:r>
          </w:p>
        </w:tc>
      </w:tr>
      <w:tr>
        <w:tc>
          <w:tcPr/>
          <w:p>
            <w:pPr>
              <w:pStyle w:val="Compact"/>
              <w:jc w:val="left"/>
            </w:pPr>
            <w:r>
              <w:t xml:space="preserve">Strategic Insight</w:t>
            </w:r>
          </w:p>
        </w:tc>
        <w:tc>
          <w:tcPr/>
          <w:p>
            <w:pPr>
              <w:pStyle w:val="Compact"/>
              <w:jc w:val="left"/>
            </w:pPr>
            <w:r>
              <w:t xml:space="preserve">Ability to provide actionable business recommendations.</w:t>
            </w:r>
          </w:p>
        </w:tc>
        <w:tc>
          <w:tcPr/>
          <w:p>
            <w:pPr>
              <w:pStyle w:val="Compact"/>
              <w:jc w:val="left"/>
            </w:pPr>
            <w:r>
              <w:t xml:space="preserve">4 - Meets Expectations</w:t>
            </w:r>
          </w:p>
        </w:tc>
      </w:tr>
      <w:tr>
        <w:tc>
          <w:tcPr/>
          <w:p>
            <w:pPr>
              <w:pStyle w:val="Compact"/>
              <w:jc w:val="left"/>
            </w:pPr>
            <w:r>
              <w:t xml:space="preserve">Timeliness of Reporting</w:t>
            </w:r>
          </w:p>
        </w:tc>
        <w:tc>
          <w:tcPr/>
          <w:p>
            <w:pPr>
              <w:pStyle w:val="Compact"/>
              <w:jc w:val="left"/>
            </w:pPr>
            <w:r>
              <w:t xml:space="preserve">Meeting deadlines for monthly and quarterly reports.</w:t>
            </w:r>
          </w:p>
        </w:tc>
        <w:tc>
          <w:tcPr/>
          <w:p>
            <w:pPr>
              <w:pStyle w:val="Compact"/>
              <w:jc w:val="left"/>
            </w:pPr>
            <w:r>
              <w:t xml:space="preserve">4 - Meets Expectations</w:t>
            </w:r>
          </w:p>
        </w:tc>
      </w:tr>
      <w:tr>
        <w:tc>
          <w:tcPr/>
          <w:p>
            <w:pPr>
              <w:pStyle w:val="Compact"/>
              <w:jc w:val="left"/>
            </w:pPr>
            <w:r>
              <w:t xml:space="preserve">Proactive Communication</w:t>
            </w:r>
          </w:p>
        </w:tc>
        <w:tc>
          <w:tcPr/>
          <w:p>
            <w:pPr>
              <w:pStyle w:val="Compact"/>
              <w:jc w:val="left"/>
            </w:pPr>
            <w:r>
              <w:t xml:space="preserve">Initiating dialogue regarding financial risks.</w:t>
            </w:r>
          </w:p>
        </w:tc>
        <w:tc>
          <w:tcPr/>
          <w:p>
            <w:pPr>
              <w:pStyle w:val="Compact"/>
              <w:jc w:val="left"/>
            </w:pPr>
            <w:r>
              <w:t xml:space="preserve">3 - Needs Improvement</w:t>
            </w:r>
          </w:p>
        </w:tc>
      </w:tr>
    </w:tbl>
    <w:bookmarkEnd w:id="25"/>
    <w:bookmarkStart w:id="26" w:name="areas-for-development"/>
    <w:p>
      <w:pPr>
        <w:pStyle w:val="Heading2"/>
      </w:pPr>
      <w:r>
        <w:t xml:space="preserve">6. Areas for Development</w:t>
      </w:r>
    </w:p>
    <w:p>
      <w:pPr>
        <w:pStyle w:val="FirstParagraph"/>
      </w:pPr>
      <w:r>
        <w:t xml:space="preserve">While the Financial Analyst has performed admirably, this Peer Review Report identifies specific areas for growth to align with the company's long-term goals in Peru.</w:t>
      </w:r>
    </w:p>
    <w:p>
      <w:pPr>
        <w:numPr>
          <w:ilvl w:val="0"/>
          <w:numId w:val="1001"/>
        </w:numPr>
        <w:pStyle w:val="Compact"/>
      </w:pPr>
      <w:r>
        <w:rPr>
          <w:bCs/>
          <w:b/>
        </w:rPr>
        <w:t xml:space="preserve">Advanced Data Visualization:</w:t>
      </w:r>
      <w:r>
        <w:t xml:space="preserve"> </w:t>
      </w:r>
      <w:r>
        <w:t xml:space="preserve">The analyst should invest time in mastering tools like Power BI or Tableau to enhance the presentation of financial data, moving beyond traditional spreadsheets.</w:t>
      </w:r>
    </w:p>
    <w:p>
      <w:pPr>
        <w:numPr>
          <w:ilvl w:val="0"/>
          <w:numId w:val="1001"/>
        </w:numPr>
        <w:pStyle w:val="Compact"/>
      </w:pPr>
      <w:r>
        <w:rPr>
          <w:bCs/>
          <w:b/>
        </w:rPr>
        <w:t xml:space="preserve">Proactive Risk Management:</w:t>
      </w:r>
      <w:r>
        <w:t xml:space="preserve"> </w:t>
      </w:r>
      <w:r>
        <w:t xml:space="preserve">There is a need to shift from reactive reporting to proactive risk identification. The analyst should be encouraged to flag potential liquidity issues or regulatory changes earlier in the process.</w:t>
      </w:r>
    </w:p>
    <w:p>
      <w:pPr>
        <w:numPr>
          <w:ilvl w:val="0"/>
          <w:numId w:val="1001"/>
        </w:numPr>
        <w:pStyle w:val="Compact"/>
      </w:pPr>
      <w:r>
        <w:rPr>
          <w:bCs/>
          <w:b/>
        </w:rPr>
        <w:t xml:space="preserve">Leadership Skills:</w:t>
      </w:r>
      <w:r>
        <w:t xml:space="preserve"> </w:t>
      </w:r>
      <w:r>
        <w:t xml:space="preserve">As the Lima finance team expands, the analyst is expected to mentor junior staff. Developing soft skills related to leadership and delegation is a priority for the next cycle.</w:t>
      </w:r>
    </w:p>
    <w:bookmarkEnd w:id="26"/>
    <w:bookmarkStart w:id="27" w:name="conclusion-and-recommendations"/>
    <w:p>
      <w:pPr>
        <w:pStyle w:val="Heading2"/>
      </w:pPr>
      <w:r>
        <w:t xml:space="preserve">7. Conclusion and Recommendations</w:t>
      </w:r>
    </w:p>
    <w:p>
      <w:pPr>
        <w:pStyle w:val="FirstParagraph"/>
      </w:pPr>
      <w:r>
        <w:t xml:space="preserve">In conclusion, this Financial Analyst is a vital asset to our operations in Lima, Peru. Their technical expertise, combined with a deep understanding of the local economic landscape, ensures that our financial strategies are both compliant and competitive. The recommendations outlined in this Peer Review Report are designed to elevate their performance from a strong individual contributor to a strategic leader within the finance department.</w:t>
      </w:r>
    </w:p>
    <w:p>
      <w:pPr>
        <w:pStyle w:val="BodyText"/>
      </w:pPr>
      <w:r>
        <w:t xml:space="preserve">It is recommended that the analyst be eligible for a performance-based bonus and enrolled in an advanced financial leadership workshop scheduled for Q2 2025. Continued support in these areas will ensure sustained success for both the individual and the organization.</w:t>
      </w:r>
    </w:p>
    <w:p>
      <w:pPr>
        <w:pStyle w:val="BodyText"/>
      </w:pPr>
      <w:r>
        <w:rPr>
          <w:bCs/>
          <w:b/>
        </w:rPr>
        <w:t xml:space="preserve">Reviewer Signature:</w:t>
      </w:r>
    </w:p>
    <w:p>
      <w:pPr>
        <w:pStyle w:val="BodyText"/>
      </w:pPr>
      <w:r>
        <w:t xml:space="preserve">__________________________</w:t>
      </w:r>
    </w:p>
    <w:p>
      <w:pPr>
        <w:pStyle w:val="BodyText"/>
      </w:pPr>
      <w:r>
        <w:t xml:space="preserve">Senior Finance Manager</w:t>
      </w:r>
    </w:p>
    <w:p>
      <w:pPr>
        <w:pStyle w:val="BodyText"/>
      </w:pPr>
      <w:r>
        <w:rPr>
          <w:bCs/>
          <w:b/>
        </w:rPr>
        <w:t xml:space="preserve">Employee Acknowledgement:</w:t>
      </w:r>
    </w:p>
    <w:p>
      <w:pPr>
        <w:pStyle w:val="BodyText"/>
      </w:pPr>
      <w:r>
        <w:t xml:space="preserve">__________________________</w:t>
      </w:r>
    </w:p>
    <w:p>
      <w:pPr>
        <w:pStyle w:val="BodyText"/>
      </w:pPr>
      <w:r>
        <w:t xml:space="preserve">Financial Analyst</w:t>
      </w:r>
    </w:p>
    <w:p>
      <w:pPr>
        <w:pStyle w:val="BodyText"/>
      </w:pPr>
      <w:r>
        <w:t xml:space="preserve">Confidential Document - Internal Use Only. Generated for [Company Name] - Lima, Peru.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Lima, Peru</dc:title>
  <dc:creator/>
  <dc:language>en</dc:language>
  <cp:keywords/>
  <dcterms:created xsi:type="dcterms:W3CDTF">2026-10-10T05:49:58Z</dcterms:created>
  <dcterms:modified xsi:type="dcterms:W3CDTF">2026-10-10T05:49:58Z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