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Caracas,</w:t>
      </w:r>
      <w:r>
        <w:t xml:space="preserve"> </w:t>
      </w:r>
      <w:r>
        <w:t xml:space="preserve">Venezuela</w:t>
      </w:r>
    </w:p>
    <w:bookmarkStart w:id="20" w:name="peer-review-report"/>
    <w:p>
      <w:pPr>
        <w:pStyle w:val="Heading1"/>
      </w:pPr>
      <w:r>
        <w:t xml:space="preserve">Peer Review Report</w:t>
      </w:r>
    </w:p>
    <w:p>
      <w:pPr>
        <w:pStyle w:val="FirstParagraph"/>
      </w:pPr>
      <w:r>
        <w:t xml:space="preserve">Role: Financial Analyst</w:t>
      </w:r>
    </w:p>
    <w:p>
      <w:pPr>
        <w:pStyle w:val="BodyText"/>
      </w:pPr>
      <w:r>
        <w:rPr>
          <w:bCs/>
          <w:b/>
        </w:rPr>
        <w:t xml:space="preserve">Location:</w:t>
      </w:r>
      <w:r>
        <w:t xml:space="preserve"> </w:t>
      </w:r>
      <w:r>
        <w:t xml:space="preserve">Caracas, Venezuela</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strategic adaptability of the Financial Analyst assigned to the Caracas office. Given the unique economic landscape of Venezuela, characterized by high inflation, currency volatility, and complex regulatory frameworks, this review places significant emphasis on the analyst's ability to navigate macroeconomic instability while maintaining rigorous financial standards. The subject has demonstrated a commendable level of resilience and technical acumen, effectively bridging the gap between local operational realities and international financial reporting requirements.</w:t>
      </w:r>
    </w:p>
    <w:bookmarkEnd w:id="21"/>
    <w:bookmarkStart w:id="22" w:name="Xcf2314001a29852e67751e2cf5c4f85f442d5f3"/>
    <w:p>
      <w:pPr>
        <w:pStyle w:val="Heading2"/>
      </w:pPr>
      <w:r>
        <w:t xml:space="preserve">2. Technical Competency and Financial Modeling</w:t>
      </w:r>
    </w:p>
    <w:p>
      <w:pPr>
        <w:pStyle w:val="FirstParagraph"/>
      </w:pPr>
      <w:r>
        <w:t xml:space="preserve">The core function of a Financial Analyst in this region requires more than standard forecasting; it demands dynamic modeling capable of adjusting to rapid shifts in exchange rates and purchasing power parity. The analyst under review has shown exceptional proficiency in developing multi-currency financial models. Specifically, their ability to integrate real-time data regarding the official exchange rate versus parallel market rates has been instrumental in providing accurate cash flow projections for the Caracas operations.</w:t>
      </w:r>
    </w:p>
    <w:p>
      <w:pPr>
        <w:pStyle w:val="BodyText"/>
      </w:pPr>
      <w:r>
        <w:t xml:space="preserve">Furthermore, the analyst has successfully implemented advanced variance analysis techniques. By isolating the impact of inflationary pressures on cost of goods sold (COGS) and operational expenditures, they have enabled management to make informed decisions regarding pricing strategies and inventory management. Their use of Excel and specialized financial software has been optimized to handle large datasets, ensuring that financial reporting remains timely despite the logistical challenges often encountered in the region.</w:t>
      </w:r>
    </w:p>
    <w:bookmarkEnd w:id="22"/>
    <w:bookmarkStart w:id="23" w:name="X101ecc4296dd6393e0a669a519e77b87c8106e0"/>
    <w:p>
      <w:pPr>
        <w:pStyle w:val="Heading2"/>
      </w:pPr>
      <w:r>
        <w:t xml:space="preserve">3. Regulatory Compliance and Risk Management</w:t>
      </w:r>
    </w:p>
    <w:p>
      <w:pPr>
        <w:pStyle w:val="FirstParagraph"/>
      </w:pPr>
      <w:r>
        <w:t xml:space="preserve">Operating in Venezuela requires a deep understanding of local fiscal laws, including those enforced by the Servicio Nacional Integrado de Administración Aduanera y Tributaria (SENIAT). This Financial Analyst has demonstrated a robust knowledge of local tax regulations and compliance requirements. They have been proactive in monitoring legislative changes and assessing their potential impact on the organization's financial health.</w:t>
      </w:r>
    </w:p>
    <w:p>
      <w:pPr>
        <w:pStyle w:val="BodyText"/>
      </w:pPr>
      <w:r>
        <w:t xml:space="preserve">Risk management is another critical area where the analyst has excelled. Given the volatility of the Venezuelan Bolívar, the analyst has developed effective hedging strategies and liquidity management protocols. Their peer-reviewed reports on foreign exchange risk have provided clear, actionable insights that have helped mitigate potential losses. Additionally, their diligence in ensuring that all financial transactions adhere to both local laws and international anti-money laundering (AML) standards has strengthened the organization's governance framework in Caracas.</w:t>
      </w:r>
    </w:p>
    <w:bookmarkEnd w:id="23"/>
    <w:bookmarkStart w:id="24" w:name="strategic-insight-and-decision-support"/>
    <w:p>
      <w:pPr>
        <w:pStyle w:val="Heading2"/>
      </w:pPr>
      <w:r>
        <w:t xml:space="preserve">4. Strategic Insight and Decision Support</w:t>
      </w:r>
    </w:p>
    <w:p>
      <w:pPr>
        <w:pStyle w:val="FirstParagraph"/>
      </w:pPr>
      <w:r>
        <w:t xml:space="preserve">Beyond technical analysis, the role of a Financial Analyst in Caracas necessitates a strategic mindset. The subject has consistently provided high-value insights that go beyond mere number crunching. For instance, their analysis of market trends and competitor pricing in the Venezuelan context has directly influenced the company's market penetration strategy. They have effectively communicated complex financial concepts to non-financial stakeholders, facilitating better cross-departmental collaboration.</w:t>
      </w:r>
    </w:p>
    <w:p>
      <w:pPr>
        <w:pStyle w:val="BodyText"/>
      </w:pPr>
      <w:r>
        <w:t xml:space="preserve">The analyst's ability to forecast scenarios under different economic conditions has been particularly valuable. By presenting best-case, worst-case, and most-likely scenarios, they have empowered leadership to prepare contingency plans. This forward-thinking approach is essential for sustaining business continuity in an environment as unpredictable as Venezuela's current economic climate.</w:t>
      </w:r>
    </w:p>
    <w:bookmarkEnd w:id="24"/>
    <w:bookmarkStart w:id="25" w:name="communication-and-collaboration"/>
    <w:p>
      <w:pPr>
        <w:pStyle w:val="Heading2"/>
      </w:pPr>
      <w:r>
        <w:t xml:space="preserve">5. Communication and Collaboration</w:t>
      </w:r>
    </w:p>
    <w:p>
      <w:pPr>
        <w:pStyle w:val="FirstParagraph"/>
      </w:pPr>
      <w:r>
        <w:t xml:space="preserve">Effective communication is vital for a Financial Analyst operating in a multicultural and high-pressure environment. The analyst has maintained open lines of communication with both local teams in Caracas and international headquarters. Their reports are clear, concise, and tailored to the audience, ensuring that critical financial information is understood and acted upon promptly.</w:t>
      </w:r>
    </w:p>
    <w:p>
      <w:pPr>
        <w:pStyle w:val="BodyText"/>
      </w:pPr>
      <w:r>
        <w:t xml:space="preserve">Collaboration with other departments, such as procurement, sales, and human resources, has been seamless. The analyst has worked closely with procurement to negotiate better terms with suppliers, considering the cash flow constraints typical in the region. Their collaborative spirit has fostered a culture of financial accountability across the organization.</w:t>
      </w:r>
    </w:p>
    <w:bookmarkEnd w:id="25"/>
    <w:bookmarkStart w:id="26" w:name="areas-for-improvement"/>
    <w:p>
      <w:pPr>
        <w:pStyle w:val="Heading2"/>
      </w:pPr>
      <w:r>
        <w:t xml:space="preserve">6. Areas for Improvement</w:t>
      </w:r>
    </w:p>
    <w:p>
      <w:pPr>
        <w:pStyle w:val="FirstParagraph"/>
      </w:pPr>
      <w:r>
        <w:t xml:space="preserve">While the performance of this Financial Analyst has been largely exemplary, there are areas for further development. First, there is an opportunity to enhance the automation of reporting processes. Leveraging more advanced data analytics tools could reduce manual workload and increase the speed of financial insights. Second, while local regulatory knowledge is strong, expanding expertise in international financial reporting standards (IFRS) nuances specific to hyperinflationary economies would further strengthen their analytical outputs. Finally, developing leadership skills to mentor junior staff in the Caracas office would be beneficial for team growth.</w:t>
      </w:r>
    </w:p>
    <w:bookmarkEnd w:id="26"/>
    <w:bookmarkStart w:id="27" w:name="conclusion"/>
    <w:p>
      <w:pPr>
        <w:pStyle w:val="Heading2"/>
      </w:pPr>
      <w:r>
        <w:t xml:space="preserve">7. Conclusion</w:t>
      </w:r>
    </w:p>
    <w:p>
      <w:pPr>
        <w:pStyle w:val="FirstParagraph"/>
      </w:pPr>
      <w:r>
        <w:t xml:space="preserve">In conclusion, this Peer Review Report affirms that the Financial Analyst in question is a vital asset to the organization's operations in Venezuela Caracas. Their technical skills, regulatory knowledge, and strategic insight are well-suited to the challenges of the local market. They have not only met but exceeded expectations in managing financial risks and providing actionable intelligence. With continued focus on automation and advanced reporting standards, this analyst is poised to contribute even more significantly to the company's long-term success in the region.</w:t>
      </w:r>
    </w:p>
    <w:bookmarkEnd w:id="27"/>
    <w:p>
      <w:pPr>
        <w:pStyle w:val="BodyText"/>
      </w:pPr>
      <w:r>
        <w:rPr>
          <w:bCs/>
          <w:b/>
        </w:rPr>
        <w:t xml:space="preserve">Reviewed By:</w:t>
      </w:r>
      <w:r>
        <w:br/>
      </w:r>
      <w:r>
        <w:t xml:space="preserve">Senior Finance Manager</w:t>
      </w:r>
      <w:r>
        <w:br/>
      </w:r>
      <w:r>
        <w:t xml:space="preserve">Caracas Office</w:t>
      </w:r>
    </w:p>
    <w:p>
      <w:pPr>
        <w:pStyle w:val="BodyText"/>
      </w:pPr>
      <w:r>
        <w:rPr>
          <w:bCs/>
          <w:b/>
        </w:rPr>
        <w:t xml:space="preserve">Subject:</w:t>
      </w:r>
      <w:r>
        <w:br/>
      </w:r>
      <w:r>
        <w:t xml:space="preserve">Financial Analyst</w:t>
      </w:r>
      <w:r>
        <w:br/>
      </w:r>
      <w:r>
        <w:t xml:space="preserve">Caracas Office</w:t>
      </w:r>
    </w:p>
    <w:p>
      <w:pPr>
        <w:pStyle w:val="BodyText"/>
      </w:pPr>
      <w:r>
        <w:t xml:space="preserve">© 2023 Internal Financial Review Committee.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Caracas, Venezuela</dc:title>
  <dc:creator/>
  <dc:language>en</dc:language>
  <cp:keywords/>
  <dcterms:created xsi:type="dcterms:W3CDTF">2026-10-10T06:31:56Z</dcterms:created>
  <dcterms:modified xsi:type="dcterms:W3CDTF">2026-10-10T06:31:56Z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