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w:t>
      </w:r>
      <w:r>
        <w:t xml:space="preserve"> </w:t>
      </w:r>
      <w:r>
        <w:t xml:space="preserve">Munich,</w:t>
      </w:r>
      <w:r>
        <w:t xml:space="preserve"> </w:t>
      </w:r>
      <w:r>
        <w:t xml:space="preserve">Germany</w:t>
      </w:r>
    </w:p>
    <w:bookmarkStart w:id="20" w:name="Xf5d48c12ea092f2c4165e7e8e2df98dde7f0412"/>
    <w:p>
      <w:pPr>
        <w:pStyle w:val="Heading1"/>
      </w:pPr>
      <w:r>
        <w:t xml:space="preserve">Peer Review Report: Firefighter Operations and Emergency Response Protocols</w:t>
      </w:r>
    </w:p>
    <w:p>
      <w:pPr>
        <w:pStyle w:val="FirstParagraph"/>
      </w:pPr>
      <w:r>
        <w:rPr>
          <w:bCs/>
          <w:b/>
        </w:rPr>
        <w:t xml:space="preserve">Location:</w:t>
      </w:r>
      <w:r>
        <w:t xml:space="preserve"> </w:t>
      </w:r>
      <w:r>
        <w:t xml:space="preserve">Munich, Germany</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International Fire Safety Review Board</w:t>
      </w:r>
    </w:p>
    <w:bookmarkEnd w:id="20"/>
    <w:bookmarkStart w:id="21" w:name="introduction"/>
    <w:p>
      <w:pPr>
        <w:pStyle w:val="Heading2"/>
      </w:pPr>
      <w:r>
        <w:t xml:space="preserve">1. Introduction</w:t>
      </w:r>
    </w:p>
    <w:p>
      <w:pPr>
        <w:pStyle w:val="FirstParagraph"/>
      </w:pPr>
      <w:r>
        <w:t xml:space="preserve">This Peer Review Report evaluates the operational readiness, training protocols, and emergency response capabilities of the Munich Fire Department (Münchner Feuerwehr). As one of Germany's most prominent urban centers, Munich presents unique challenges for firefighting operations due to its dense population, historical architecture, and advanced infrastructure. This report aims to provide a comprehensive analysis of the current practices employed by firefighters in Munich, highlighting strengths, areas for improvement, and recommendations for enhancing overall effectiveness.</w:t>
      </w:r>
    </w:p>
    <w:bookmarkEnd w:id="21"/>
    <w:bookmarkStart w:id="22" w:name="scope-of-the-review"/>
    <w:p>
      <w:pPr>
        <w:pStyle w:val="Heading2"/>
      </w:pPr>
      <w:r>
        <w:t xml:space="preserve">2. Scope of the Review</w:t>
      </w:r>
    </w:p>
    <w:p>
      <w:pPr>
        <w:pStyle w:val="FirstParagraph"/>
      </w:pPr>
      <w:r>
        <w:t xml:space="preserve">The scope of this review encompasses several critical aspects of firefighter operations in Munich:</w:t>
      </w:r>
    </w:p>
    <w:p>
      <w:pPr>
        <w:numPr>
          <w:ilvl w:val="0"/>
          <w:numId w:val="1001"/>
        </w:numPr>
        <w:pStyle w:val="Compact"/>
      </w:pPr>
      <w:r>
        <w:t xml:space="preserve">Training programs and skill development</w:t>
      </w:r>
    </w:p>
    <w:p>
      <w:pPr>
        <w:numPr>
          <w:ilvl w:val="0"/>
          <w:numId w:val="1001"/>
        </w:numPr>
        <w:pStyle w:val="Compact"/>
      </w:pPr>
      <w:r>
        <w:t xml:space="preserve">Emergency response times and coordination</w:t>
      </w:r>
    </w:p>
    <w:p>
      <w:pPr>
        <w:numPr>
          <w:ilvl w:val="0"/>
          <w:numId w:val="1001"/>
        </w:numPr>
        <w:pStyle w:val="Compact"/>
      </w:pPr>
      <w:r>
        <w:t xml:space="preserve">Equipment and technology utilization</w:t>
      </w:r>
    </w:p>
    <w:p>
      <w:pPr>
        <w:numPr>
          <w:ilvl w:val="0"/>
          <w:numId w:val="1001"/>
        </w:numPr>
        <w:pStyle w:val="Compact"/>
      </w:pPr>
      <w:r>
        <w:t xml:space="preserve">Inter-agency collaboration and communication</w:t>
      </w:r>
    </w:p>
    <w:p>
      <w:pPr>
        <w:numPr>
          <w:ilvl w:val="0"/>
          <w:numId w:val="1001"/>
        </w:numPr>
        <w:pStyle w:val="Compact"/>
      </w:pPr>
      <w:r>
        <w:t xml:space="preserve">Public safety education initiatives</w:t>
      </w:r>
    </w:p>
    <w:p>
      <w:pPr>
        <w:pStyle w:val="FirstParagraph"/>
      </w:pPr>
      <w:r>
        <w:t xml:space="preserve">Special attention is given to how these elements align with national standards set by the German Federal Association of Fire Services (DLV) and international best practices.</w:t>
      </w:r>
    </w:p>
    <w:bookmarkEnd w:id="22"/>
    <w:bookmarkStart w:id="23" w:name="training-programs-and-skill-development"/>
    <w:p>
      <w:pPr>
        <w:pStyle w:val="Heading2"/>
      </w:pPr>
      <w:r>
        <w:t xml:space="preserve">3. Training Programs and Skill Development</w:t>
      </w:r>
    </w:p>
    <w:p>
      <w:pPr>
        <w:pStyle w:val="FirstParagraph"/>
      </w:pPr>
      <w:r>
        <w:t xml:space="preserve">Firefighters in Munich undergo rigorous training that combines theoretical knowledge with practical exercises. The curriculum includes modules on fire dynamics, hazardous materials handling, urban search and rescue, and medical first response. Notably, the integration of simulation-based training has significantly improved decision-making skills under high-pressure scenarios.</w:t>
      </w:r>
    </w:p>
    <w:p>
      <w:pPr>
        <w:pStyle w:val="BodyText"/>
      </w:pPr>
      <w:r>
        <w:t xml:space="preserve">However, there is room for enhancement in specialized areas such as cyber-physical system failures (e.g., smart building emergencies) and climate change-related incidents like extreme heatwaves or flooding. Incorporating these topics into regular drills would better prepare firefighters for emerging risks.</w:t>
      </w:r>
    </w:p>
    <w:bookmarkEnd w:id="23"/>
    <w:bookmarkStart w:id="24" w:name="Xaa991570997dac3807f711b69bb965cbea06463"/>
    <w:p>
      <w:pPr>
        <w:pStyle w:val="Heading2"/>
      </w:pPr>
      <w:r>
        <w:t xml:space="preserve">4. Emergency Response Times and Coordination</w:t>
      </w:r>
    </w:p>
    <w:p>
      <w:pPr>
        <w:pStyle w:val="FirstParagraph"/>
      </w:pPr>
      <w:r>
        <w:t xml:space="preserve">Munich boasts an impressive average emergency response time of approximately four minutes within the city center, which is commendable given the complexity of urban environments. This efficiency is largely attributed to strategically located fire stations and advanced dispatch systems.</w:t>
      </w:r>
    </w:p>
    <w:p>
      <w:pPr>
        <w:pStyle w:val="BodyText"/>
      </w:pPr>
      <w:r>
        <w:t xml:space="preserve">Nevertheless, suburban areas occasionally experience delays due to traffic congestion and limited access routes. To address this issue, implementing dynamic routing algorithms powered by real-time data could optimize response paths during peak hours or large-scale events.</w:t>
      </w:r>
    </w:p>
    <w:bookmarkEnd w:id="24"/>
    <w:bookmarkStart w:id="25" w:name="equipment-and-technology-utilization"/>
    <w:p>
      <w:pPr>
        <w:pStyle w:val="Heading2"/>
      </w:pPr>
      <w:r>
        <w:t xml:space="preserve">5. Equipment and Technology Utilization</w:t>
      </w:r>
    </w:p>
    <w:p>
      <w:pPr>
        <w:pStyle w:val="FirstParagraph"/>
      </w:pPr>
      <w:r>
        <w:t xml:space="preserve">The Munich Fire Department is equipped with state-of-the-art vehicles, including aerial platforms, foam tenders, and specialized rescue units. Recent investments in drone technology have enhanced situational awareness during complex operations, allowing commanders to assess hazards remotely.</w:t>
      </w:r>
    </w:p>
    <w:p>
      <w:pPr>
        <w:pStyle w:val="BodyText"/>
      </w:pPr>
      <w:r>
        <w:t xml:space="preserve">Despite these advancements, some older stations still rely on legacy communication systems that may hinder seamless interoperability with neighboring jurisdictions. Upgrading to fully integrated digital networks would ensure consistent and reliable communication across all levels of operation.</w:t>
      </w:r>
    </w:p>
    <w:bookmarkEnd w:id="25"/>
    <w:bookmarkStart w:id="26" w:name="X6d5bd3a2f56e4df2c231442b39de923b96a45c2"/>
    <w:p>
      <w:pPr>
        <w:pStyle w:val="Heading2"/>
      </w:pPr>
      <w:r>
        <w:t xml:space="preserve">6. Inter-Agency Collaboration and Communication</w:t>
      </w:r>
    </w:p>
    <w:p>
      <w:pPr>
        <w:pStyle w:val="FirstParagraph"/>
      </w:pPr>
      <w:r>
        <w:t xml:space="preserve">Effective collaboration between the Munich Fire Department, police forces, medical services, and other stakeholders is crucial for managing multi-faceted emergencies. Joint exercises conducted annually demonstrate strong coordination and mutual understanding among agencies.</w:t>
      </w:r>
    </w:p>
    <w:p>
      <w:pPr>
        <w:pStyle w:val="BodyText"/>
      </w:pPr>
      <w:r>
        <w:t xml:space="preserve">However, language barriers can sometimes arise when working with international visitors or expatriates during crises. Developing multilingual communication tools and protocols would further strengthen community trust and facilitate smoother interactions.</w:t>
      </w:r>
    </w:p>
    <w:bookmarkEnd w:id="26"/>
    <w:bookmarkStart w:id="27" w:name="public-safety-education-initiatives"/>
    <w:p>
      <w:pPr>
        <w:pStyle w:val="Heading2"/>
      </w:pPr>
      <w:r>
        <w:t xml:space="preserve">7. Public Safety Education Initiatives</w:t>
      </w:r>
    </w:p>
    <w:p>
      <w:pPr>
        <w:pStyle w:val="FirstParagraph"/>
      </w:pPr>
      <w:r>
        <w:t xml:space="preserve">Public engagement plays a vital role in reducing fire incidents and improving overall safety. The Munich Fire Department actively participates in school programs, workshops, and awareness campaigns focused on fire prevention and evacuation procedures.</w:t>
      </w:r>
    </w:p>
    <w:p>
      <w:pPr>
        <w:pStyle w:val="BodyText"/>
      </w:pPr>
      <w:r>
        <w:t xml:space="preserve">To amplify impact, leveraging social media platforms and interactive online resources could reach broader audiences, particularly younger demographics who are increasingly digitally connected.</w:t>
      </w:r>
    </w:p>
    <w:bookmarkEnd w:id="27"/>
    <w:bookmarkStart w:id="28" w:name="strengths-and-areas-for-improvement"/>
    <w:p>
      <w:pPr>
        <w:pStyle w:val="Heading2"/>
      </w:pPr>
      <w:r>
        <w:t xml:space="preserve">8.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Training</w:t>
            </w:r>
          </w:p>
        </w:tc>
        <w:tc>
          <w:tcPr/>
          <w:p>
            <w:pPr>
              <w:pStyle w:val="Compact"/>
              <w:jc w:val="left"/>
            </w:pPr>
            <w:r>
              <w:t xml:space="preserve">Comprehensive curriculum; use of simulations</w:t>
            </w:r>
          </w:p>
        </w:tc>
        <w:tc>
          <w:tcPr/>
          <w:p>
            <w:pPr>
              <w:pStyle w:val="Compact"/>
              <w:jc w:val="left"/>
            </w:pPr>
            <w:r>
              <w:t xml:space="preserve">Inclusion of emerging risk factors</w:t>
            </w:r>
          </w:p>
        </w:tc>
      </w:tr>
      <w:tr>
        <w:tc>
          <w:tcPr/>
          <w:p>
            <w:pPr>
              <w:pStyle w:val="Compact"/>
              <w:jc w:val="left"/>
            </w:pPr>
            <w:r>
              <w:t xml:space="preserve">Response Times</w:t>
            </w:r>
          </w:p>
        </w:tc>
        <w:tc>
          <w:tcPr/>
          <w:p>
            <w:pPr>
              <w:pStyle w:val="Compact"/>
              <w:jc w:val="left"/>
            </w:pPr>
            <w:r>
              <w:t xml:space="preserve">Fast response in central areas</w:t>
            </w:r>
          </w:p>
        </w:tc>
        <w:tc>
          <w:tcPr/>
          <w:p>
            <w:pPr>
              <w:pStyle w:val="Compact"/>
              <w:jc w:val="left"/>
            </w:pPr>
            <w:r>
              <w:t xml:space="preserve">Optimization for suburban zones</w:t>
            </w:r>
          </w:p>
        </w:tc>
      </w:tr>
      <w:tr>
        <w:tc>
          <w:tcPr/>
          <w:p>
            <w:pPr>
              <w:pStyle w:val="Compact"/>
              <w:jc w:val="left"/>
            </w:pPr>
            <w:r>
              <w:t xml:space="preserve">Technology</w:t>
            </w:r>
          </w:p>
        </w:tc>
        <w:tc>
          <w:tcPr/>
          <w:p>
            <w:pPr>
              <w:pStyle w:val="Compact"/>
              <w:jc w:val="left"/>
            </w:pPr>
            <w:r>
              <w:t xml:space="preserve">Advanced equipment; drone deployment</w:t>
            </w:r>
          </w:p>
        </w:tc>
        <w:tc>
          <w:tcPr/>
          <w:p>
            <w:pPr>
              <w:pStyle w:val="Compact"/>
              <w:jc w:val="left"/>
            </w:pPr>
            <w:r>
              <w:t xml:space="preserve">Modernization of communication systems</w:t>
            </w:r>
          </w:p>
        </w:tc>
      </w:tr>
      <w:tr>
        <w:tc>
          <w:tcPr/>
          <w:p>
            <w:pPr>
              <w:pStyle w:val="Compact"/>
              <w:jc w:val="left"/>
            </w:pPr>
            <w:r>
              <w:t xml:space="preserve">Collaboration</w:t>
            </w:r>
          </w:p>
        </w:tc>
        <w:tc>
          <w:tcPr/>
          <w:p>
            <w:pPr>
              <w:pStyle w:val="Compact"/>
              <w:jc w:val="left"/>
            </w:pPr>
            <w:r>
              <w:t xml:space="preserve">Strong inter-agency partnerships</w:t>
            </w:r>
          </w:p>
        </w:tc>
        <w:tc>
          <w:tcPr/>
          <w:p>
            <w:pPr>
              <w:pStyle w:val="Compact"/>
              <w:jc w:val="left"/>
            </w:pPr>
            <w:r>
              <w:t xml:space="preserve">Multilingual support enhancements</w:t>
            </w:r>
          </w:p>
        </w:tc>
      </w:tr>
    </w:tbl>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Expand training modules to include climate-related disasters and technological failures.</w:t>
      </w:r>
    </w:p>
    <w:p>
      <w:pPr>
        <w:numPr>
          <w:ilvl w:val="0"/>
          <w:numId w:val="1002"/>
        </w:numPr>
        <w:pStyle w:val="Compact"/>
      </w:pPr>
      <w:r>
        <w:t xml:space="preserve">Implement AI-driven traffic management solutions to reduce response times in suburban areas.</w:t>
      </w:r>
    </w:p>
    <w:p>
      <w:pPr>
        <w:numPr>
          <w:ilvl w:val="0"/>
          <w:numId w:val="1002"/>
        </w:numPr>
        <w:pStyle w:val="Compact"/>
      </w:pPr>
      <w:r>
        <w:t xml:space="preserve">Upgrade communication infrastructure to ensure full compatibility with regional and national systems.</w:t>
      </w:r>
    </w:p>
    <w:p>
      <w:pPr>
        <w:numPr>
          <w:ilvl w:val="0"/>
          <w:numId w:val="1002"/>
        </w:numPr>
        <w:pStyle w:val="Compact"/>
      </w:pPr>
      <w:r>
        <w:t xml:space="preserve">Develop multilingual resources to improve accessibility for diverse populations.</w:t>
      </w:r>
    </w:p>
    <w:p>
      <w:pPr>
        <w:numPr>
          <w:ilvl w:val="0"/>
          <w:numId w:val="1002"/>
        </w:numPr>
        <w:pStyle w:val="Compact"/>
      </w:pPr>
      <w:r>
        <w:t xml:space="preserve">Enhance public outreach efforts through digital channels to promote proactive safety measures.</w:t>
      </w:r>
    </w:p>
    <w:bookmarkEnd w:id="29"/>
    <w:bookmarkStart w:id="30" w:name="conclusion"/>
    <w:p>
      <w:pPr>
        <w:pStyle w:val="Heading2"/>
      </w:pPr>
      <w:r>
        <w:t xml:space="preserve">10. Conclusion</w:t>
      </w:r>
    </w:p>
    <w:p>
      <w:pPr>
        <w:pStyle w:val="FirstParagraph"/>
      </w:pPr>
      <w:r>
        <w:t xml:space="preserve">The Munich Fire Department exemplifies excellence in firefighting operations, demonstrating unwavering commitment to protecting lives and property. By addressing identified gaps and embracing innovative strategies, the department can continue to serve as a model for urban emergency response not only in Germany but globally. This Peer Review Report underscores the importance of continuous improvement and adaptability in meeting the evolving needs of modern cities like Munich.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 Munich, Germany</dc:title>
  <dc:creator/>
  <dc:language>en</dc:language>
  <cp:keywords/>
  <dcterms:created xsi:type="dcterms:W3CDTF">2026-10-10T09:09:48Z</dcterms:created>
  <dcterms:modified xsi:type="dcterms:W3CDTF">2026-10-10T09:09:48Z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