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t xml:space="preserve">Professional Competency Assessment for Creative Roles</w:t>
      </w:r>
    </w:p>
    <w:bookmarkEnd w:id="20"/>
    <w:p>
      <w:pPr>
        <w:pStyle w:val="BodyText"/>
      </w:pPr>
      <w:r>
        <w:rPr>
          <w:bCs/>
          <w:b/>
        </w:rPr>
        <w:t xml:space="preserve">Subject Name:</w:t>
      </w:r>
      <w:r>
        <w:t xml:space="preserve"> </w:t>
      </w:r>
      <w:r>
        <w:t xml:space="preserve">[Insert Designer Name]</w:t>
      </w:r>
    </w:p>
    <w:p>
      <w:pPr>
        <w:pStyle w:val="BodyText"/>
      </w:pPr>
      <w:r>
        <w:rPr>
          <w:bCs/>
          <w:b/>
        </w:rPr>
        <w:t xml:space="preserve">Role:</w:t>
      </w:r>
      <w:r>
        <w:t xml:space="preserve"> </w:t>
      </w:r>
      <w:r>
        <w:t xml:space="preserve">Graphic Designer</w:t>
      </w:r>
    </w:p>
    <w:p>
      <w:pPr>
        <w:pStyle w:val="BodyText"/>
      </w:pPr>
      <w:r>
        <w:rPr>
          <w:bCs/>
          <w:b/>
        </w:rPr>
        <w:t xml:space="preserve">Reviewer Name:</w:t>
      </w:r>
      <w:r>
        <w:t xml:space="preserve"> </w:t>
      </w:r>
      <w:r>
        <w:t xml:space="preserve">[Insert Reviewer Name]</w:t>
      </w:r>
    </w:p>
    <w:p>
      <w:pPr>
        <w:pStyle w:val="BodyText"/>
      </w:pPr>
      <w:r>
        <w:rPr>
          <w:bCs/>
          <w:b/>
        </w:rPr>
        <w:t xml:space="preserve">Reviewer Role:</w:t>
      </w:r>
      <w:r>
        <w:t xml:space="preserve"> </w:t>
      </w:r>
      <w:r>
        <w:t xml:space="preserve">Senior Creative Lead / Peer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Berlin, Germany</w:t>
      </w:r>
    </w:p>
    <w:p>
      <w:pPr>
        <w:pStyle w:val="BodyText"/>
      </w:pPr>
      <w:r>
        <w:rPr>
          <w:bCs/>
          <w:b/>
        </w:rPr>
        <w:t xml:space="preserve">Review Period:</w:t>
      </w:r>
      <w:r>
        <w:t xml:space="preserve"> </w:t>
      </w:r>
      <w:r>
        <w:t xml:space="preserve">Q3 2023 - Q4 2023</w:t>
      </w:r>
    </w:p>
    <w:p>
      <w:pPr>
        <w:pStyle w:val="BodyText"/>
      </w:pPr>
      <w:r>
        <w:rPr>
          <w:bCs/>
          <w:b/>
        </w:rPr>
        <w:t xml:space="preserve">Department:</w:t>
      </w:r>
      <w:r>
        <w:t xml:space="preserve"> </w:t>
      </w:r>
      <w:r>
        <w:t xml:space="preserve">Creative &amp; Brand Strategy</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collaborative capabilities of the Graphic Designer in question. Conducted within the dynamic creative ecosystem of Germany Berlin, this assessment reflects the high standards expected in one of Europe's leading design hubs. The review focuses on technical proficiency, adherence to brand guidelines, innovation, and the ability to navigate the multicultural and fast-paced environment typical of Berlin's startup and corporate sectors.</w:t>
      </w:r>
    </w:p>
    <w:p>
      <w:pPr>
        <w:pStyle w:val="BodyText"/>
      </w:pPr>
      <w:r>
        <w:t xml:space="preserve">The subject has demonstrated a strong command of visual communication principles, effectively translating complex client requirements into compelling visual narratives. Their work aligns well with the contemporary aesthetic trends prevalent in the German market, balancing minimalism with functional clarity.</w:t>
      </w:r>
    </w:p>
    <w:bookmarkEnd w:id="21"/>
    <w:bookmarkStart w:id="22" w:name="technical-proficiency-and-design-quality"/>
    <w:p>
      <w:pPr>
        <w:pStyle w:val="Heading2"/>
      </w:pPr>
      <w:r>
        <w:t xml:space="preserve">2. Technical Proficiency and Design Quality</w:t>
      </w:r>
    </w:p>
    <w:p>
      <w:pPr>
        <w:pStyle w:val="FirstParagraph"/>
      </w:pPr>
      <w:r>
        <w:t xml:space="preserve">As a Graphic Designer operating in Berlin, technical excellence is non-negotiable. The subject exhibits a robust mastery of industry-standard software, including Adobe Creative Cloud (Photoshop, Illustrator, InDesign) and emerging tools like Figma for collaborative prototyping. Their file organization is meticulous, ensuring that assets are easily accessible for cross-functional teams, a critical factor in agile workflows common in German tech companies.</w:t>
      </w:r>
    </w:p>
    <w:p>
      <w:pPr>
        <w:pStyle w:val="BodyText"/>
      </w:pPr>
      <w:r>
        <w:t xml:space="preserve">The quality of typography, color theory application, and layout composition is consistently high. The designer shows a keen understanding of the German preference for clean, structured, and legible design. Whether creating marketing collateral, digital interfaces, or brand identity systems, the output is polished and production-ready. There is a notable attention to detail regarding print specifications and digital optimization, reducing the need for revisions and streamlining the approval process.</w:t>
      </w:r>
    </w:p>
    <w:bookmarkEnd w:id="22"/>
    <w:bookmarkStart w:id="23" w:name="creativity-and-innovation"/>
    <w:p>
      <w:pPr>
        <w:pStyle w:val="Heading2"/>
      </w:pPr>
      <w:r>
        <w:t xml:space="preserve">3. Creativity and Innovation</w:t>
      </w:r>
    </w:p>
    <w:p>
      <w:pPr>
        <w:pStyle w:val="FirstParagraph"/>
      </w:pPr>
      <w:r>
        <w:t xml:space="preserve">Berlin is renowned for its avant-garde art scene and innovative spirit. This Peer Review Report notes that the Graphic Designer successfully integrates this local creative energy into their work. They do not merely replicate trends but adapt them to suit specific brand voices. The subject has shown initiative in proposing fresh visual concepts that differentiate our brand from competitors in the DACH region (Germany, Austria, Switzerland).</w:t>
      </w:r>
    </w:p>
    <w:p>
      <w:pPr>
        <w:pStyle w:val="BodyText"/>
      </w:pPr>
      <w:r>
        <w:t xml:space="preserve">However, there is room for growth in pushing boundaries further. While the current output is safe and professional, the designer is encouraged to take more calculated risks in experimental projects, leveraging Berlin's reputation for bold visual storytelling.</w:t>
      </w:r>
    </w:p>
    <w:bookmarkEnd w:id="23"/>
    <w:bookmarkStart w:id="24" w:name="collaboration-and-communication"/>
    <w:p>
      <w:pPr>
        <w:pStyle w:val="Heading2"/>
      </w:pPr>
      <w:r>
        <w:t xml:space="preserve">4. Collaboration and Communication</w:t>
      </w:r>
    </w:p>
    <w:p>
      <w:pPr>
        <w:pStyle w:val="FirstParagraph"/>
      </w:pPr>
      <w:r>
        <w:t xml:space="preserve">Working in Germany Berlin requires navigating a diverse, international team structure. The subject demonstrates excellent interpersonal skills, communicating effectively with stakeholders from various cultural backgrounds. They are receptive to feedback, a trait highly valued in the German professional culture where direct, constructive criticism is standard practice.</w:t>
      </w:r>
    </w:p>
    <w:p>
      <w:pPr>
        <w:pStyle w:val="BodyText"/>
      </w:pPr>
      <w:r>
        <w:t xml:space="preserve">The designer actively participates in brainstorming sessions, contributing ideas that enhance the collective creative direction. Their ability to articulate design decisions logically—explaining the "why" behind visual choices—has improved significantly, fostering greater trust with non-design colleagues such as product managers and marketing strategists.</w:t>
      </w:r>
    </w:p>
    <w:bookmarkEnd w:id="24"/>
    <w:bookmarkStart w:id="26" w:name="cultural-fit-and-professionalism"/>
    <w:p>
      <w:pPr>
        <w:pStyle w:val="Heading2"/>
      </w:pPr>
      <w:r>
        <w:t xml:space="preserve">5. Cultural Fit and Professionalism</w:t>
      </w:r>
    </w:p>
    <w:p>
      <w:pPr>
        <w:pStyle w:val="FirstParagraph"/>
      </w:pPr>
      <w:r>
        <w:t xml:space="preserve">The subject aligns well with the professional ethos of the Berlin creative industry. They exhibit punctuality, reliability, and a strong work ethic. Understanding the local business etiquette, they maintain a professional demeanor while fostering a friendly team atmosphere. Their adaptability to the hybrid work models common in Berlin has been seamless, ensuring consistent productivity whether working remotely or in the office.</w:t>
      </w:r>
    </w:p>
    <w:bookmarkStart w:id="25" w:name="overall-performance-rating"/>
    <w:p>
      <w:pPr>
        <w:pStyle w:val="Heading3"/>
      </w:pPr>
      <w:r>
        <w:t xml:space="preserve">Overall Performance Rating</w:t>
      </w:r>
    </w:p>
    <w:p>
      <w:pPr>
        <w:pStyle w:val="FirstParagraph"/>
      </w:pPr>
      <w:r>
        <w:rPr>
          <w:bCs/>
          <w:b/>
        </w:rPr>
        <w:t xml:space="preserve">Score: 4.5 / 5.0</w:t>
      </w:r>
    </w:p>
    <w:p>
      <w:pPr>
        <w:pStyle w:val="BodyText"/>
      </w:pPr>
      <w:r>
        <w:rPr>
          <w:iCs/>
          <w:i/>
        </w:rPr>
        <w:t xml:space="preserve">Rating Scale: 1 (Needs Improvement) to 5 (Exceptional)</w:t>
      </w:r>
    </w:p>
    <w:p>
      <w:pPr>
        <w:pStyle w:val="BodyText"/>
      </w:pPr>
      <w:r>
        <w:t xml:space="preserve">This rating reflects a high level of competence and reliability, with clear potential for advancement into a senior creative role.</w:t>
      </w:r>
    </w:p>
    <w:bookmarkEnd w:id="25"/>
    <w:bookmarkEnd w:id="26"/>
    <w:bookmarkStart w:id="27" w:name="areas-for-development"/>
    <w:p>
      <w:pPr>
        <w:pStyle w:val="Heading2"/>
      </w:pPr>
      <w:r>
        <w:t xml:space="preserve">6. Areas for Development</w:t>
      </w:r>
    </w:p>
    <w:p>
      <w:pPr>
        <w:pStyle w:val="FirstParagraph"/>
      </w:pPr>
      <w:r>
        <w:t xml:space="preserve">To further enhance their career trajectory within the competitive Berlin market, the following areas are recommended for development:</w:t>
      </w:r>
    </w:p>
    <w:p>
      <w:pPr>
        <w:numPr>
          <w:ilvl w:val="0"/>
          <w:numId w:val="1001"/>
        </w:numPr>
        <w:pStyle w:val="Compact"/>
      </w:pPr>
      <w:r>
        <w:rPr>
          <w:bCs/>
          <w:b/>
        </w:rPr>
        <w:t xml:space="preserve">Motion Graphics:</w:t>
      </w:r>
      <w:r>
        <w:t xml:space="preserve"> </w:t>
      </w:r>
      <w:r>
        <w:t xml:space="preserve">Expanding skill sets into After Effects or Lottie animations to meet the growing demand for dynamic digital content.</w:t>
      </w:r>
    </w:p>
    <w:p>
      <w:pPr>
        <w:numPr>
          <w:ilvl w:val="0"/>
          <w:numId w:val="1001"/>
        </w:numPr>
        <w:pStyle w:val="Compact"/>
      </w:pPr>
      <w:r>
        <w:rPr>
          <w:bCs/>
          <w:b/>
        </w:rPr>
        <w:t xml:space="preserve">Strategic Thinking:</w:t>
      </w:r>
      <w:r>
        <w:t xml:space="preserve"> </w:t>
      </w:r>
      <w:r>
        <w:t xml:space="preserve">Moving beyond execution to engage more deeply in the strategic planning phase of campaigns.</w:t>
      </w:r>
    </w:p>
    <w:p>
      <w:pPr>
        <w:numPr>
          <w:ilvl w:val="0"/>
          <w:numId w:val="1001"/>
        </w:numPr>
        <w:pStyle w:val="Compact"/>
      </w:pPr>
      <w:r>
        <w:rPr>
          <w:bCs/>
          <w:b/>
        </w:rPr>
        <w:t xml:space="preserve">German Language Proficiency:</w:t>
      </w:r>
      <w:r>
        <w:t xml:space="preserve"> </w:t>
      </w:r>
      <w:r>
        <w:t xml:space="preserve">While English is the lingua franca, improving German language skills would facilitate deeper connections with local clients and stakeholders.</w:t>
      </w:r>
    </w:p>
    <w:bookmarkEnd w:id="27"/>
    <w:bookmarkStart w:id="28" w:name="conclusion"/>
    <w:p>
      <w:pPr>
        <w:pStyle w:val="Heading2"/>
      </w:pPr>
      <w:r>
        <w:t xml:space="preserve">7. Conclusion</w:t>
      </w:r>
    </w:p>
    <w:p>
      <w:pPr>
        <w:pStyle w:val="FirstParagraph"/>
      </w:pPr>
      <w:r>
        <w:t xml:space="preserve">In conclusion, this Peer Review Report confirms that the Graphic Designer is a valuable asset to the team. Their technical skills, creative sensibility, and collaborative nature make them well-suited for the demands of the Berlin creative industry. With continued focus on the identified development areas, they are poised to take on greater responsibilities and contribute even more significantly to the organization's success.</w:t>
      </w:r>
    </w:p>
    <w:p>
      <w:pPr>
        <w:pStyle w:val="BodyText"/>
      </w:pPr>
      <w:r>
        <w:rPr>
          <w:bCs/>
          <w:b/>
        </w:rPr>
        <w:t xml:space="preserve">Reviewer Signature</w:t>
      </w:r>
      <w:r>
        <w:br/>
      </w:r>
      <w:r>
        <w:t xml:space="preserve">[Insert Reviewer Name]</w:t>
      </w:r>
    </w:p>
    <w:p>
      <w:pPr>
        <w:pStyle w:val="BodyText"/>
      </w:pPr>
      <w:r>
        <w:rPr>
          <w:bCs/>
          <w:b/>
        </w:rPr>
        <w:t xml:space="preserve">Subject Acknowledgement</w:t>
      </w:r>
      <w:r>
        <w:br/>
      </w:r>
      <w:r>
        <w:t xml:space="preserve">[Insert Designer Name]</w:t>
      </w:r>
    </w:p>
    <w:p>
      <w:pPr>
        <w:pStyle w:val="BodyText"/>
      </w:pPr>
      <w:r>
        <w:t xml:space="preserve">© 2023 Internal Human Resources &amp; Creative Department. Confidential Document. Berlin, Germany.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Berlin, Germany</dc:title>
  <dc:creator/>
  <dc:language>en</dc:language>
  <cp:keywords/>
  <dcterms:created xsi:type="dcterms:W3CDTF">2026-10-10T04:20:34Z</dcterms:created>
  <dcterms:modified xsi:type="dcterms:W3CDTF">2026-10-10T04:20:34Z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