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Creative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creative output, and collaborative effectiveness of a Graphic Designer operating within our Frankfurt-based office. Frankfurt am Main, as a global financial hub and a center for cultural diversity in Germany, demands a unique set of skills from creative professionals. This report evaluates how the designer navigates the specific challenges of the local market, adheres to German professional standards, and contributes to the visual identity of our projects. The review covers technical proficiency, cultural adaptability, workflow efficiency, and strategic alignment with client expectations in the DACH region.</w:t>
      </w:r>
    </w:p>
    <w:bookmarkEnd w:id="21"/>
    <w:bookmarkStart w:id="22" w:name="X747d7c2507653368283194bcfb4b6467f89ea8a"/>
    <w:p>
      <w:pPr>
        <w:pStyle w:val="Heading2"/>
      </w:pPr>
      <w:r>
        <w:t xml:space="preserve">2. Contextual Relevance: The Frankfurt Market</w:t>
      </w:r>
    </w:p>
    <w:p>
      <w:pPr>
        <w:pStyle w:val="FirstParagraph"/>
      </w:pPr>
      <w:r>
        <w:t xml:space="preserve">Designing in Germany, and specifically in Frankfurt, requires more than just aesthetic sensibility; it requires a deep understanding of local business culture. Frankfurt is home to major banks, international organizations, and a vibrant startup ecosystem. Consequently, the Graphic Designer is expected to produce work that balances high-end corporate professionalism with modern, innovative trends.</w:t>
      </w:r>
    </w:p>
    <w:p>
      <w:pPr>
        <w:pStyle w:val="BodyText"/>
      </w:pPr>
      <w:r>
        <w:t xml:space="preserve">This review highlights the designer's ability to tailor visual communications to this specific environment. For instance, the designer has demonstrated a strong grasp of the "Germanic" design ethos, which often prioritizes clarity, functionality, and precision over excessive ornamentation. The ability to create layouts that are not only visually striking but also logically structured is crucial for our clients in the financial and legal sectors based in the city.</w:t>
      </w:r>
    </w:p>
    <w:bookmarkEnd w:id="22"/>
    <w:bookmarkStart w:id="23" w:name="Xe5437d865753c6037e727686122085bddd010c5"/>
    <w:p>
      <w:pPr>
        <w:pStyle w:val="Heading2"/>
      </w:pPr>
      <w:r>
        <w:t xml:space="preserve">3. Technical Proficiency and Creative Quality</w:t>
      </w:r>
    </w:p>
    <w:p>
      <w:pPr>
        <w:pStyle w:val="FirstParagraph"/>
      </w:pPr>
      <w:r>
        <w:t xml:space="preserve">The Graphic Designer has exhibited a high level of technical mastery across industry-standard tools, including Adobe Creative Cloud (Photoshop, Illustrator, InDesign) and emerging prototyping software. The quality of the deliverables consistently meets the rigorous standards expected in the German creative industry.</w:t>
      </w:r>
    </w:p>
    <w:p>
      <w:pPr>
        <w:pStyle w:val="BodyText"/>
      </w:pPr>
      <w:r>
        <w:t xml:space="preserve">Key observations include:</w:t>
      </w:r>
    </w:p>
    <w:p>
      <w:pPr>
        <w:numPr>
          <w:ilvl w:val="0"/>
          <w:numId w:val="1001"/>
        </w:numPr>
        <w:pStyle w:val="Compact"/>
      </w:pPr>
      <w:r>
        <w:rPr>
          <w:bCs/>
          <w:b/>
        </w:rPr>
        <w:t xml:space="preserve">Typography:</w:t>
      </w:r>
      <w:r>
        <w:t xml:space="preserve"> </w:t>
      </w:r>
      <w:r>
        <w:t xml:space="preserve">Excellent selection of typefaces that ensure readability and brand consistency, respecting the nuanced hierarchy often required in German-language documents.</w:t>
      </w:r>
    </w:p>
    <w:p>
      <w:pPr>
        <w:numPr>
          <w:ilvl w:val="0"/>
          <w:numId w:val="1001"/>
        </w:numPr>
        <w:pStyle w:val="Compact"/>
      </w:pPr>
      <w:r>
        <w:rPr>
          <w:bCs/>
          <w:b/>
        </w:rPr>
        <w:t xml:space="preserve">Color Theory:</w:t>
      </w:r>
      <w:r>
        <w:t xml:space="preserve"> </w:t>
      </w:r>
      <w:r>
        <w:t xml:space="preserve">Effective use of color palettes that resonate with local cultural perceptions while maintaining global brand guidelines.</w:t>
      </w:r>
    </w:p>
    <w:p>
      <w:pPr>
        <w:numPr>
          <w:ilvl w:val="0"/>
          <w:numId w:val="1001"/>
        </w:numPr>
        <w:pStyle w:val="Compact"/>
      </w:pPr>
      <w:r>
        <w:rPr>
          <w:bCs/>
          <w:b/>
        </w:rPr>
        <w:t xml:space="preserve">Print and Digital:</w:t>
      </w:r>
      <w:r>
        <w:t xml:space="preserve"> </w:t>
      </w:r>
      <w:r>
        <w:t xml:space="preserve">Seamless transition between print materials (brochures, business cards) and digital assets (social media graphics, web banners), ensuring high resolution and format compliance.</w:t>
      </w:r>
    </w:p>
    <w:p>
      <w:pPr>
        <w:pStyle w:val="FirstParagraph"/>
      </w:pPr>
      <w:r>
        <w:t xml:space="preserve">The designer’s portfolio from the last quarter demonstrates a sophisticated understanding of visual storytelling, which is essential for engaging the diverse, international audience present in Frankfurt.</w:t>
      </w:r>
    </w:p>
    <w:bookmarkEnd w:id="23"/>
    <w:bookmarkStart w:id="24" w:name="cultural-adaptability-and-communication"/>
    <w:p>
      <w:pPr>
        <w:pStyle w:val="Heading2"/>
      </w:pPr>
      <w:r>
        <w:t xml:space="preserve">4. Cultural Adaptability and Communication</w:t>
      </w:r>
    </w:p>
    <w:p>
      <w:pPr>
        <w:pStyle w:val="FirstParagraph"/>
      </w:pPr>
      <w:r>
        <w:t xml:space="preserve">Working in Frankfurt involves interacting with a multicultural team and a diverse client base. This Peer Review Report notes the designer's strong communication skills and cultural intelligence. The ability to interpret feedback constructively is vital in the German workplace, where direct and honest critique is standard practice.</w:t>
      </w:r>
    </w:p>
    <w:p>
      <w:pPr>
        <w:pStyle w:val="BodyText"/>
      </w:pPr>
      <w:r>
        <w:t xml:space="preserve">The Graphic Designer has shown resilience and professionalism when receiving detailed feedback. They do not take direct criticism personally but instead view it as a necessary step toward achieving excellence. Furthermore, their ability to collaborate with German-speaking colleagues and English-speaking international stakeholders has been seamless. They have successfully navigated the nuances of cross-cultural communication, ensuring that design concepts are understood and approved without ambiguity.</w:t>
      </w:r>
    </w:p>
    <w:bookmarkEnd w:id="24"/>
    <w:bookmarkStart w:id="25" w:name="workflow-efficiency-and-reliability"/>
    <w:p>
      <w:pPr>
        <w:pStyle w:val="Heading2"/>
      </w:pPr>
      <w:r>
        <w:t xml:space="preserve">5. Workflow Efficiency and Reliability</w:t>
      </w:r>
    </w:p>
    <w:p>
      <w:pPr>
        <w:pStyle w:val="FirstParagraph"/>
      </w:pPr>
      <w:r>
        <w:t xml:space="preserve">Punctuality and reliability are core values in the German professional environment. This review confirms that the Graphic Designer consistently meets deadlines and manages their time effectively. In a fast-paced city like Frankfurt, where project timelines can be tight, the designer's ability to prioritize tasks and deliver high-quality work under pressure is commendable.</w:t>
      </w:r>
    </w:p>
    <w:p>
      <w:pPr>
        <w:pStyle w:val="BodyText"/>
      </w:pPr>
      <w:r>
        <w:t xml:space="preserve">The designer has also integrated well into our agile workflow processes. They actively participate in sprint planning, provide accurate time estimates for design tasks, and communicate potential bottlenecks proactively. This level of transparency fosters trust within the team and ensures that project milestones are met without compromising quality.</w:t>
      </w:r>
    </w:p>
    <w:bookmarkEnd w:id="25"/>
    <w:bookmarkStart w:id="26" w:name="areas-for-development"/>
    <w:p>
      <w:pPr>
        <w:pStyle w:val="Heading2"/>
      </w:pPr>
      <w:r>
        <w:t xml:space="preserve">6. Areas for Development</w:t>
      </w:r>
    </w:p>
    <w:p>
      <w:pPr>
        <w:pStyle w:val="FirstParagraph"/>
      </w:pPr>
      <w:r>
        <w:t xml:space="preserve">While the performance has been largely exemplary, this Peer Review Report identifies a few areas for continued growth:</w:t>
      </w:r>
    </w:p>
    <w:p>
      <w:pPr>
        <w:numPr>
          <w:ilvl w:val="0"/>
          <w:numId w:val="1002"/>
        </w:numPr>
        <w:pStyle w:val="Compact"/>
      </w:pPr>
      <w:r>
        <w:rPr>
          <w:bCs/>
          <w:b/>
        </w:rPr>
        <w:t xml:space="preserve">Local Regulatory Knowledge:</w:t>
      </w:r>
      <w:r>
        <w:t xml:space="preserve"> </w:t>
      </w:r>
      <w:r>
        <w:t xml:space="preserve">Deepening understanding of German advertising laws and data privacy regulations (GDPR) as they pertain to visual design and digital marketing materials.</w:t>
      </w:r>
    </w:p>
    <w:p>
      <w:pPr>
        <w:numPr>
          <w:ilvl w:val="0"/>
          <w:numId w:val="1002"/>
        </w:numPr>
        <w:pStyle w:val="Compact"/>
      </w:pPr>
      <w:r>
        <w:rPr>
          <w:bCs/>
          <w:b/>
        </w:rPr>
        <w:t xml:space="preserve">Advanced Motion Graphics:</w:t>
      </w:r>
      <w:r>
        <w:t xml:space="preserve"> </w:t>
      </w:r>
      <w:r>
        <w:t xml:space="preserve">Expanding skill sets into motion design to meet the increasing demand for dynamic content in the Frankfurt tech and finance sectors.</w:t>
      </w:r>
    </w:p>
    <w:p>
      <w:pPr>
        <w:numPr>
          <w:ilvl w:val="0"/>
          <w:numId w:val="1002"/>
        </w:numPr>
        <w:pStyle w:val="Compact"/>
      </w:pPr>
      <w:r>
        <w:rPr>
          <w:bCs/>
          <w:b/>
        </w:rPr>
        <w:t xml:space="preserve">German Language Proficiency:</w:t>
      </w:r>
      <w:r>
        <w:t xml:space="preserve"> </w:t>
      </w:r>
      <w:r>
        <w:t xml:space="preserve">While English is sufficient for daily operations, improving German language skills would enhance direct client interactions and cultural integration.</w:t>
      </w:r>
    </w:p>
    <w:bookmarkEnd w:id="26"/>
    <w:bookmarkStart w:id="27" w:name="conclusion"/>
    <w:p>
      <w:pPr>
        <w:pStyle w:val="Heading2"/>
      </w:pPr>
      <w:r>
        <w:t xml:space="preserve">7. Conclusion</w:t>
      </w:r>
    </w:p>
    <w:p>
      <w:pPr>
        <w:pStyle w:val="FirstParagraph"/>
      </w:pPr>
      <w:r>
        <w:t xml:space="preserve">In conclusion, this Graphic Designer is a valuable asset to our Frankfurt office. Their blend of technical skill, cultural awareness, and professional reliability aligns perfectly with the demands of the local market. They have successfully adapted to the unique challenges of working in Germany, delivering work that is both aesthetically pleasing and strategically sound. We recommend continued support for their professional development, particularly in the areas identified above, to further enhance their contribution to our team and clients in Frankfurt am Main.</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Creative Director</w:t>
      </w:r>
    </w:p>
    <w:p>
      <w:pPr>
        <w:pStyle w:val="BodyText"/>
      </w:pPr>
      <w:r>
        <w:rPr>
          <w:bCs/>
          <w:b/>
        </w:rPr>
        <w:t xml:space="preserve">Location:</w:t>
      </w:r>
      <w:r>
        <w:t xml:space="preserve"> </w:t>
      </w:r>
      <w:r>
        <w:t xml:space="preserve">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Frankfurt, Germany</dc:title>
  <dc:creator/>
  <dc:language>en</dc:language>
  <cp:keywords/>
  <dcterms:created xsi:type="dcterms:W3CDTF">2026-10-10T06:30:29Z</dcterms:created>
  <dcterms:modified xsi:type="dcterms:W3CDTF">2026-10-10T06:30:29Z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