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Graphic Designer Performance Evaluation</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Creative Lead</w:t>
      </w:r>
    </w:p>
    <w:bookmarkEnd w:id="20"/>
    <w:bookmarkStart w:id="21" w:name="introduction-and-context"/>
    <w:p>
      <w:pPr>
        <w:pStyle w:val="Heading2"/>
      </w:pPr>
      <w:r>
        <w:t xml:space="preserve">1. Introduction and Context</w:t>
      </w:r>
    </w:p>
    <w:p>
      <w:pPr>
        <w:pStyle w:val="FirstParagraph"/>
      </w:pPr>
      <w:r>
        <w:t xml:space="preserve">This Peer Review Report serves as a comprehensive evaluation of the professional performance, creative output, and collaborative skills of a Graphic Designer operating within the dynamic market of Indonesia Jakarta. The purpose of this document is to provide constructive feedback, highlight areas of excellence, and identify opportunities for professional growth. Given the vibrant and competitive nature of the design industry in Jakarta, this review focuses on how the designer adapts to local cultural nuances, meets international standards, and contributes to the team's overall success.</w:t>
      </w:r>
    </w:p>
    <w:bookmarkEnd w:id="21"/>
    <w:bookmarkStart w:id="22" w:name="creative-proficiency-and-design-quality"/>
    <w:p>
      <w:pPr>
        <w:pStyle w:val="Heading2"/>
      </w:pPr>
      <w:r>
        <w:t xml:space="preserve">2. Creative Proficiency and Design Quality</w:t>
      </w:r>
    </w:p>
    <w:p>
      <w:pPr>
        <w:pStyle w:val="FirstParagraph"/>
      </w:pPr>
      <w:r>
        <w:t xml:space="preserve">The Graphic Designer has demonstrated a strong command of visual communication principles. Their portfolio reflects a keen understanding of typography, color theory, and layout composition. In the context of Indonesia Jakarta, where visual trends move rapidly due to high social media engagement, the designer has shown an impressive ability to create contemporary and engaging visuals.</w:t>
      </w:r>
    </w:p>
    <w:p>
      <w:pPr>
        <w:pStyle w:val="BodyText"/>
      </w:pPr>
      <w:r>
        <w:t xml:space="preserve">Specifically, the designer excels in creating assets that resonate with the local demographic while maintaining a global aesthetic. This balance is crucial for brands operating in Jakarta that aim to appeal to both local consumers and international partners. The use of culturally relevant imagery and motifs has been particularly effective in recent campaigns, demonstrating a deep respect for Indonesian heritage while pushing creative boundaries.</w:t>
      </w:r>
    </w:p>
    <w:bookmarkEnd w:id="22"/>
    <w:bookmarkStart w:id="23" w:name="Xb5e51bba6be2aa9d1cd8d417b324f3f3babdabe"/>
    <w:p>
      <w:pPr>
        <w:pStyle w:val="Heading2"/>
      </w:pPr>
      <w:r>
        <w:t xml:space="preserve">3. Technical Skills and Software Proficiency</w:t>
      </w:r>
    </w:p>
    <w:p>
      <w:pPr>
        <w:pStyle w:val="FirstParagraph"/>
      </w:pPr>
      <w:r>
        <w:t xml:space="preserve">Technical proficiency is a cornerstone of this role. The Graphic Designer exhibits advanced skills in industry-standard software, including Adobe Creative Suite (Photoshop, Illustrator, InDesign) and emerging tools like Figma for collaborative design. Their ability to produce high-resolution print materials and optimized digital assets ensures that all deliverables meet the technical requirements of various media channels prevalent in Indonesia Jakarta.</w:t>
      </w:r>
    </w:p>
    <w:p>
      <w:pPr>
        <w:pStyle w:val="BodyText"/>
      </w:pPr>
      <w:r>
        <w:t xml:space="preserve">Furthermore, the designer has shown initiative in learning new technologies, such as motion graphics and basic UI/UX principles, which are increasingly in demand in Jakarta's growing tech sector. This adaptability ensures that the team remains competitive and capable of delivering multi-format design solutions.</w:t>
      </w:r>
    </w:p>
    <w:bookmarkEnd w:id="23"/>
    <w:bookmarkStart w:id="24" w:name="collaboration-and-communication"/>
    <w:p>
      <w:pPr>
        <w:pStyle w:val="Heading2"/>
      </w:pPr>
      <w:r>
        <w:t xml:space="preserve">4. Collaboration and Communication</w:t>
      </w:r>
    </w:p>
    <w:p>
      <w:pPr>
        <w:pStyle w:val="FirstParagraph"/>
      </w:pPr>
      <w:r>
        <w:t xml:space="preserve">Effective collaboration is essential in a fast-paced environment like Indonesia Jakarta. The Graphic Designer has consistently demonstrated strong communication skills, actively participating in brainstorming sessions and providing valuable input during project planning. Their ability to articulate design decisions and accept feedback gracefully fosters a positive team dynamic.</w:t>
      </w:r>
    </w:p>
    <w:p>
      <w:pPr>
        <w:pStyle w:val="BodyText"/>
      </w:pPr>
      <w:r>
        <w:t xml:space="preserve">The designer works seamlessly with cross-functional teams, including marketing, development, and client relations. This collaborative approach ensures that design solutions are not only visually appealing but also aligned with business objectives and technical constraints. Their responsiveness to client requests and ability to manage multiple stakeholders have been particularly noteworthy.</w:t>
      </w:r>
    </w:p>
    <w:bookmarkEnd w:id="24"/>
    <w:bookmarkStart w:id="25" w:name="time-management-and-project-delivery"/>
    <w:p>
      <w:pPr>
        <w:pStyle w:val="Heading2"/>
      </w:pPr>
      <w:r>
        <w:t xml:space="preserve">5. Time Management and Project Delivery</w:t>
      </w:r>
    </w:p>
    <w:p>
      <w:pPr>
        <w:pStyle w:val="FirstParagraph"/>
      </w:pPr>
      <w:r>
        <w:t xml:space="preserve">Meeting deadlines is critical in the competitive landscape of Indonesia Jakarta. The Graphic Designer has shown excellent time management skills, consistently delivering projects on schedule without compromising quality. Their ability to prioritize tasks and manage multiple projects simultaneously ensures that the team can meet tight deadlines often associated with local marketing campaigns and product launches.</w:t>
      </w:r>
    </w:p>
    <w:p>
      <w:pPr>
        <w:pStyle w:val="BodyText"/>
      </w:pPr>
      <w:r>
        <w:t xml:space="preserve">However, there is room for improvement in anticipating potential bottlenecks and communicating delays proactively. Enhancing this aspect will further strengthen project management capabilities and ensure smoother workflows.</w:t>
      </w:r>
    </w:p>
    <w:bookmarkEnd w:id="25"/>
    <w:bookmarkStart w:id="26" w:name="X4adc0e9a3e3d5a80d1807bf8bdf96eb6e827e2c"/>
    <w:p>
      <w:pPr>
        <w:pStyle w:val="Heading2"/>
      </w:pPr>
      <w:r>
        <w:t xml:space="preserve">6. Cultural Sensitivity and Market Awareness</w:t>
      </w:r>
    </w:p>
    <w:p>
      <w:pPr>
        <w:pStyle w:val="FirstParagraph"/>
      </w:pPr>
      <w:r>
        <w:t xml:space="preserve">Operating in Indonesia Jakarta requires a nuanced understanding of cultural sensitivities and market trends. The Graphic Designer has shown a commendable awareness of these factors, ensuring that all designs are appropriate and respectful of local customs and values. This cultural intelligence is vital for building trust with local audiences and avoiding potential missteps in communication.</w:t>
      </w:r>
    </w:p>
    <w:p>
      <w:pPr>
        <w:pStyle w:val="BodyText"/>
      </w:pPr>
      <w:r>
        <w:t xml:space="preserve">The designer's ability to incorporate local festivals, holidays, and social movements into design campaigns has resulted in higher engagement rates and stronger brand connections. This market awareness is a significant asset and should be further leveraged in future projects.</w:t>
      </w:r>
    </w:p>
    <w:bookmarkEnd w:id="26"/>
    <w:bookmarkStart w:id="27" w:name="areas-for-improvement"/>
    <w:p>
      <w:pPr>
        <w:pStyle w:val="Heading2"/>
      </w:pPr>
      <w:r>
        <w:t xml:space="preserve">7. Areas for Improvement</w:t>
      </w:r>
    </w:p>
    <w:p>
      <w:pPr>
        <w:pStyle w:val="FirstParagraph"/>
      </w:pPr>
      <w:r>
        <w:t xml:space="preserve">While the Graphic Designer has performed exceptionally well, there are areas where further development can enhance their effectiveness:</w:t>
      </w:r>
    </w:p>
    <w:p>
      <w:pPr>
        <w:numPr>
          <w:ilvl w:val="0"/>
          <w:numId w:val="1001"/>
        </w:numPr>
        <w:pStyle w:val="Compact"/>
      </w:pPr>
      <w:r>
        <w:rPr>
          <w:bCs/>
          <w:b/>
        </w:rPr>
        <w:t xml:space="preserve">Strategic Thinking:</w:t>
      </w:r>
      <w:r>
        <w:t xml:space="preserve"> </w:t>
      </w:r>
      <w:r>
        <w:t xml:space="preserve">Encouraging a more strategic approach to design by aligning creative decisions more closely with long-term brand goals.</w:t>
      </w:r>
    </w:p>
    <w:p>
      <w:pPr>
        <w:numPr>
          <w:ilvl w:val="0"/>
          <w:numId w:val="1001"/>
        </w:numPr>
        <w:pStyle w:val="Compact"/>
      </w:pPr>
      <w:r>
        <w:rPr>
          <w:bCs/>
          <w:b/>
        </w:rPr>
        <w:t xml:space="preserve">Leadership Skills:</w:t>
      </w:r>
      <w:r>
        <w:t xml:space="preserve"> </w:t>
      </w:r>
      <w:r>
        <w:t xml:space="preserve">Taking on more mentorship roles to guide junior designers and contribute to team development.</w:t>
      </w:r>
    </w:p>
    <w:p>
      <w:pPr>
        <w:numPr>
          <w:ilvl w:val="0"/>
          <w:numId w:val="1001"/>
        </w:numPr>
        <w:pStyle w:val="Compact"/>
      </w:pPr>
      <w:r>
        <w:rPr>
          <w:bCs/>
          <w:b/>
        </w:rPr>
        <w:t xml:space="preserve">Advanced Motion Graphics:</w:t>
      </w:r>
      <w:r>
        <w:t xml:space="preserve"> </w:t>
      </w:r>
      <w:r>
        <w:t xml:space="preserve">Expanding skills in motion design to meet the increasing demand for video content in Indonesia Jakarta's digital landscape.</w:t>
      </w:r>
    </w:p>
    <w:bookmarkEnd w:id="27"/>
    <w:bookmarkStart w:id="28" w:name="conclusion"/>
    <w:p>
      <w:pPr>
        <w:pStyle w:val="Heading2"/>
      </w:pPr>
      <w:r>
        <w:t xml:space="preserve">8. Conclusion</w:t>
      </w:r>
    </w:p>
    <w:p>
      <w:pPr>
        <w:pStyle w:val="FirstParagraph"/>
      </w:pPr>
      <w:r>
        <w:t xml:space="preserve">In conclusion, this Peer Review Report highlights the Graphic Designer's significant contributions to the team and their strong performance in the Indonesia Jakarta market. Their creative talent, technical skills, and collaborative spirit make them a valuable asset. By focusing on the identified areas for improvement, the designer can continue to grow and excel in their role, further enhancing the team's capabilities and success.</w:t>
      </w:r>
    </w:p>
    <w:bookmarkEnd w:id="28"/>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Creative Lead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Indonesia Jakarta</dc:title>
  <dc:creator/>
  <dc:language>en</dc:language>
  <cp:keywords/>
  <dcterms:created xsi:type="dcterms:W3CDTF">2026-10-10T02:03:39Z</dcterms:created>
  <dcterms:modified xsi:type="dcterms:W3CDTF">2026-10-10T02:03:39Z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