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t xml:space="preserve">Professional Performance Evaluation &amp; Creative Assessment</w:t>
      </w:r>
    </w:p>
    <w:bookmarkEnd w:id="20"/>
    <w:p>
      <w:pPr>
        <w:pStyle w:val="BodyText"/>
      </w:pPr>
      <w:r>
        <w:rPr>
          <w:bCs/>
          <w:b/>
        </w:rPr>
        <w:t xml:space="preserve">Role Under Review:</w:t>
      </w:r>
      <w:r>
        <w:t xml:space="preserve"> </w:t>
      </w:r>
      <w:r>
        <w:t xml:space="preserve">Senior Graphic Designer</w:t>
      </w:r>
    </w:p>
    <w:p>
      <w:pPr>
        <w:pStyle w:val="BodyText"/>
      </w:pPr>
      <w:r>
        <w:rPr>
          <w:bCs/>
          <w:b/>
        </w:rPr>
        <w:t xml:space="preserve">Location:</w:t>
      </w:r>
      <w:r>
        <w:t xml:space="preserve"> </w:t>
      </w:r>
      <w:r>
        <w:t xml:space="preserve">Tel Aviv, Israel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Creative Director</w:t>
      </w:r>
    </w:p>
    <w:p>
      <w:pPr>
        <w:pStyle w:val="BodyText"/>
      </w:pPr>
      <w:r>
        <w:rPr>
          <w:bCs/>
          <w:b/>
        </w:rPr>
        <w:t xml:space="preserve">Department:</w:t>
      </w:r>
      <w:r>
        <w:t xml:space="preserve"> </w:t>
      </w:r>
      <w:r>
        <w:t xml:space="preserve">Brand &amp; Digital Experience</w:t>
      </w:r>
    </w:p>
    <w:bookmarkStart w:id="21" w:name="executive-summary"/>
    <w:p>
      <w:pPr>
        <w:pStyle w:val="Heading2"/>
      </w:pPr>
      <w:r>
        <w:t xml:space="preserve">1. Executive Summary</w:t>
      </w:r>
    </w:p>
    <w:p>
      <w:pPr>
        <w:pStyle w:val="FirstParagraph"/>
      </w:pPr>
      <w:r>
        <w:t xml:space="preserve">This Peer Review Report serves as a comprehensive evaluation of the Graphic Designer's performance within the dynamic creative ecosystem of Tel Aviv, Israel. As a global hub for technology, startups, and digital innovation, Tel Aviv demands a unique blend of aesthetic excellence, cultural sensitivity, and rapid adaptability. This report assesses the designer's ability to navigate these specific local and global requirements while maintaining high standards of visual communication.</w:t>
      </w:r>
    </w:p>
    <w:p>
      <w:pPr>
        <w:pStyle w:val="BodyText"/>
      </w:pPr>
      <w:r>
        <w:t xml:space="preserve">The review focuses on the designer's technical proficiency, creative problem-solving, collaboration within the multidisciplinary team, and their contribution to the company's brand identity in the Israeli market. The overall assessment indicates a strong alignment with the company's strategic goals, with specific areas highlighted for continued professional growth.</w:t>
      </w:r>
    </w:p>
    <w:bookmarkEnd w:id="21"/>
    <w:bookmarkStart w:id="22" w:name="creative-excellence-and-visual-identity"/>
    <w:p>
      <w:pPr>
        <w:pStyle w:val="Heading2"/>
      </w:pPr>
      <w:r>
        <w:t xml:space="preserve">2. Creative Excellence and Visual Identity</w:t>
      </w:r>
    </w:p>
    <w:p>
      <w:pPr>
        <w:pStyle w:val="FirstParagraph"/>
      </w:pPr>
      <w:r>
        <w:t xml:space="preserve">The Graphic Designer has demonstrated a sophisticated understanding of visual hierarchy, typography, and color theory. In the context of Tel Aviv's competitive market, where brands vie for attention in a saturated digital landscape, the designer's ability to create distinct and memorable visual assets is crucial.</w:t>
      </w:r>
    </w:p>
    <w:p>
      <w:pPr>
        <w:pStyle w:val="BodyText"/>
      </w:pPr>
      <w:r>
        <w:rPr>
          <w:bCs/>
          <w:b/>
        </w:rPr>
        <w:t xml:space="preserve">Key Observations:</w:t>
      </w:r>
    </w:p>
    <w:p>
      <w:pPr>
        <w:numPr>
          <w:ilvl w:val="0"/>
          <w:numId w:val="1001"/>
        </w:numPr>
        <w:pStyle w:val="Compact"/>
      </w:pPr>
      <w:r>
        <w:rPr>
          <w:bCs/>
          <w:b/>
        </w:rPr>
        <w:t xml:space="preserve">Brand Consistency:</w:t>
      </w:r>
      <w:r>
        <w:t xml:space="preserve"> </w:t>
      </w:r>
      <w:r>
        <w:t xml:space="preserve">The designer has successfully maintained brand guidelines across various touchpoints, from social media campaigns to print collateral. This consistency is vital for building trust with Israeli consumers who value authenticity.</w:t>
      </w:r>
    </w:p>
    <w:p>
      <w:pPr>
        <w:numPr>
          <w:ilvl w:val="0"/>
          <w:numId w:val="1001"/>
        </w:numPr>
        <w:pStyle w:val="Compact"/>
      </w:pPr>
      <w:r>
        <w:rPr>
          <w:bCs/>
          <w:b/>
        </w:rPr>
        <w:t xml:space="preserve">Innovation:</w:t>
      </w:r>
      <w:r>
        <w:t xml:space="preserve"> </w:t>
      </w:r>
      <w:r>
        <w:t xml:space="preserve">Recent projects showcased a willingness to experiment with modern design trends, such as kinetic typography and immersive UI elements, reflecting the tech-forward nature of the Tel Aviv startup scene.</w:t>
      </w:r>
    </w:p>
    <w:p>
      <w:pPr>
        <w:numPr>
          <w:ilvl w:val="0"/>
          <w:numId w:val="1001"/>
        </w:numPr>
        <w:pStyle w:val="Compact"/>
      </w:pPr>
      <w:r>
        <w:rPr>
          <w:bCs/>
          <w:b/>
        </w:rPr>
        <w:t xml:space="preserve">Cultural Relevance:</w:t>
      </w:r>
      <w:r>
        <w:t xml:space="preserve"> </w:t>
      </w:r>
      <w:r>
        <w:t xml:space="preserve">The designer effectively incorporated local cultural nuances into global campaigns, ensuring that messaging resonates with the diverse demographic of Tel Aviv while remaining accessible to international audiences.</w:t>
      </w:r>
    </w:p>
    <w:bookmarkEnd w:id="22"/>
    <w:bookmarkStart w:id="23" w:name="technical-proficiency-and-tool-mastery"/>
    <w:p>
      <w:pPr>
        <w:pStyle w:val="Heading2"/>
      </w:pPr>
      <w:r>
        <w:t xml:space="preserve">3. Technical Proficiency and Tool Mastery</w:t>
      </w:r>
    </w:p>
    <w:p>
      <w:pPr>
        <w:pStyle w:val="FirstParagraph"/>
      </w:pPr>
      <w:r>
        <w:t xml:space="preserve">Technical skill is the backbone of effective graphic design. This review evaluates the designer's command of industry-standard software and their ability to leverage new technologies.</w:t>
      </w:r>
    </w:p>
    <w:p>
      <w:pPr>
        <w:pStyle w:val="BodyText"/>
      </w:pPr>
      <w:r>
        <w:t xml:space="preserve">The designer exhibits advanced proficiency in Adobe Creative Cloud (Photoshop, Illustrator, InDesign) and Figma. Their workflow is efficient, allowing for quick iterations—a necessity in the fast-paced Tel Aviv business environment. Furthermore, the designer has shown initiative in learning motion graphics tools (After Effects), adding significant value to digital marketing efforts.</w:t>
      </w:r>
    </w:p>
    <w:p>
      <w:pPr>
        <w:pStyle w:val="BodyText"/>
      </w:pPr>
      <w:r>
        <w:t xml:space="preserve">Technical Competency Score: 9/10</w:t>
      </w:r>
    </w:p>
    <w:bookmarkEnd w:id="23"/>
    <w:bookmarkStart w:id="24" w:name="collaboration-and-communication"/>
    <w:p>
      <w:pPr>
        <w:pStyle w:val="Heading2"/>
      </w:pPr>
      <w:r>
        <w:t xml:space="preserve">4. Collaboration and Communication</w:t>
      </w:r>
    </w:p>
    <w:p>
      <w:pPr>
        <w:pStyle w:val="FirstParagraph"/>
      </w:pPr>
      <w:r>
        <w:t xml:space="preserve">In Tel Aviv's collaborative work culture, the ability to communicate ideas clearly and work harmoniously with cross-functional teams is paramount. This Graphic Designer has proven to be an integral team player.</w:t>
      </w:r>
    </w:p>
    <w:p>
      <w:pPr>
        <w:pStyle w:val="BodyText"/>
      </w:pPr>
      <w:r>
        <w:rPr>
          <w:bCs/>
          <w:b/>
        </w:rPr>
        <w:t xml:space="preserve">Strengths:</w:t>
      </w:r>
    </w:p>
    <w:p>
      <w:pPr>
        <w:numPr>
          <w:ilvl w:val="0"/>
          <w:numId w:val="1002"/>
        </w:numPr>
        <w:pStyle w:val="Compact"/>
      </w:pPr>
      <w:r>
        <w:rPr>
          <w:bCs/>
          <w:b/>
        </w:rPr>
        <w:t xml:space="preserve">Cross-Departmental Synergy:</w:t>
      </w:r>
      <w:r>
        <w:t xml:space="preserve"> </w:t>
      </w:r>
      <w:r>
        <w:t xml:space="preserve">Works seamlessly with developers, marketers, and product managers to ensure design feasibility and strategic alignment.</w:t>
      </w:r>
    </w:p>
    <w:p>
      <w:pPr>
        <w:numPr>
          <w:ilvl w:val="0"/>
          <w:numId w:val="1002"/>
        </w:numPr>
        <w:pStyle w:val="Compact"/>
      </w:pPr>
      <w:r>
        <w:rPr>
          <w:bCs/>
          <w:b/>
        </w:rPr>
        <w:t xml:space="preserve">Feedback Reception:</w:t>
      </w:r>
      <w:r>
        <w:t xml:space="preserve"> </w:t>
      </w:r>
      <w:r>
        <w:t xml:space="preserve">Demonstrates a mature approach to critique, viewing feedback as an opportunity for refinement rather than personal criticism. This is particularly evident during rapid design sprints.</w:t>
      </w:r>
    </w:p>
    <w:p>
      <w:pPr>
        <w:numPr>
          <w:ilvl w:val="0"/>
          <w:numId w:val="1002"/>
        </w:numPr>
        <w:pStyle w:val="Compact"/>
      </w:pPr>
      <w:r>
        <w:rPr>
          <w:bCs/>
          <w:b/>
        </w:rPr>
        <w:t xml:space="preserve">Language Skills:</w:t>
      </w:r>
      <w:r>
        <w:t xml:space="preserve"> </w:t>
      </w:r>
      <w:r>
        <w:t xml:space="preserve">Fluent communication in both Hebrew and English facilitates smooth interactions with local stakeholders and international clients, a critical asset for companies operating in Israel.</w:t>
      </w:r>
    </w:p>
    <w:bookmarkEnd w:id="24"/>
    <w:bookmarkStart w:id="25" w:name="adaptability-and-problem-solving"/>
    <w:p>
      <w:pPr>
        <w:pStyle w:val="Heading2"/>
      </w:pPr>
      <w:r>
        <w:t xml:space="preserve">5. Adaptability and Problem Solving</w:t>
      </w:r>
    </w:p>
    <w:p>
      <w:pPr>
        <w:pStyle w:val="FirstParagraph"/>
      </w:pPr>
      <w:r>
        <w:t xml:space="preserve">The Israeli market is characterized by its volatility and rapid change. A successful Graphic Designer must be agile. This individual has consistently demonstrated the ability to pivot strategies and redesign assets under tight deadlines without compromising quality.</w:t>
      </w:r>
    </w:p>
    <w:p>
      <w:pPr>
        <w:pStyle w:val="BodyText"/>
      </w:pPr>
      <w:r>
        <w:t xml:space="preserve">For example, during the recent product launch, the designer quickly adapted visual assets to address last-minute regulatory changes and market feedback. This responsiveness ensured the campaign remained compliant and effective, showcasing a high level of professional resilience.</w:t>
      </w:r>
    </w:p>
    <w:bookmarkEnd w:id="25"/>
    <w:bookmarkStart w:id="26" w:name="areas-for-development"/>
    <w:p>
      <w:pPr>
        <w:pStyle w:val="Heading2"/>
      </w:pPr>
      <w:r>
        <w:t xml:space="preserve">6. Areas for Development</w:t>
      </w:r>
    </w:p>
    <w:p>
      <w:pPr>
        <w:pStyle w:val="FirstParagraph"/>
      </w:pPr>
      <w:r>
        <w:t xml:space="preserve">While the performance has been exemplary, this Peer Review Report identifies specific areas for growth to ensure continued excellence.</w:t>
      </w:r>
    </w:p>
    <w:p>
      <w:pPr>
        <w:numPr>
          <w:ilvl w:val="0"/>
          <w:numId w:val="1003"/>
        </w:numPr>
        <w:pStyle w:val="Compact"/>
      </w:pPr>
      <w:r>
        <w:rPr>
          <w:bCs/>
          <w:b/>
        </w:rPr>
        <w:t xml:space="preserve">Strategic Leadership:</w:t>
      </w:r>
      <w:r>
        <w:t xml:space="preserve"> </w:t>
      </w:r>
      <w:r>
        <w:t xml:space="preserve">Encouraged to take a more proactive role in defining design strategy rather than solely executing briefs. This involves presenting data-driven design recommendations to stakeholders.</w:t>
      </w:r>
    </w:p>
    <w:p>
      <w:pPr>
        <w:numPr>
          <w:ilvl w:val="0"/>
          <w:numId w:val="1003"/>
        </w:numPr>
        <w:pStyle w:val="Compact"/>
      </w:pPr>
      <w:r>
        <w:rPr>
          <w:bCs/>
          <w:b/>
        </w:rPr>
        <w:t xml:space="preserve">Mentorship:</w:t>
      </w:r>
      <w:r>
        <w:t xml:space="preserve"> </w:t>
      </w:r>
      <w:r>
        <w:t xml:space="preserve">As a senior member of the team, there is an opportunity to mentor junior designers, fostering a culture of learning and elevating the overall skill set of the department.</w:t>
      </w:r>
    </w:p>
    <w:p>
      <w:pPr>
        <w:numPr>
          <w:ilvl w:val="0"/>
          <w:numId w:val="1003"/>
        </w:numPr>
        <w:pStyle w:val="Compact"/>
      </w:pPr>
      <w:r>
        <w:rPr>
          <w:bCs/>
          <w:b/>
        </w:rPr>
        <w:t xml:space="preserve">3D Design Integration:</w:t>
      </w:r>
      <w:r>
        <w:t xml:space="preserve"> </w:t>
      </w:r>
      <w:r>
        <w:t xml:space="preserve">Given the growing trend of 3D elements in digital media, expanding skills in Blender or Cinema 4D would keep the designer at the forefront of industry innovation in Tel Aviv.</w:t>
      </w:r>
    </w:p>
    <w:bookmarkEnd w:id="26"/>
    <w:bookmarkStart w:id="27" w:name="conclusion-and-recommendations"/>
    <w:p>
      <w:pPr>
        <w:pStyle w:val="Heading2"/>
      </w:pPr>
      <w:r>
        <w:t xml:space="preserve">7. Conclusion and Recommendations</w:t>
      </w:r>
    </w:p>
    <w:p>
      <w:pPr>
        <w:pStyle w:val="FirstParagraph"/>
      </w:pPr>
      <w:r>
        <w:t xml:space="preserve">This Graphic Designer is a valuable asset to the organization, embodying the creative spirit and professional rigor associated with the Tel Aviv design community. Their work not only meets but often exceeds expectations, contributing significantly to the brand's visual impact and market positioning.</w:t>
      </w:r>
    </w:p>
    <w:p>
      <w:pPr>
        <w:pStyle w:val="BodyText"/>
      </w:pPr>
      <w:r>
        <w:rPr>
          <w:bCs/>
          <w:b/>
        </w:rPr>
        <w:t xml:space="preserve">Recommendations:</w:t>
      </w:r>
    </w:p>
    <w:p>
      <w:pPr>
        <w:numPr>
          <w:ilvl w:val="0"/>
          <w:numId w:val="1004"/>
        </w:numPr>
        <w:pStyle w:val="Compact"/>
      </w:pPr>
      <w:r>
        <w:t xml:space="preserve">Approve for promotion consideration to Lead Graphic Designer based on current performance metrics.</w:t>
      </w:r>
    </w:p>
    <w:p>
      <w:pPr>
        <w:numPr>
          <w:ilvl w:val="0"/>
          <w:numId w:val="1004"/>
        </w:numPr>
        <w:pStyle w:val="Compact"/>
      </w:pPr>
      <w:r>
        <w:t xml:space="preserve">Enroll in advanced leadership and design strategy workshops.</w:t>
      </w:r>
    </w:p>
    <w:p>
      <w:pPr>
        <w:numPr>
          <w:ilvl w:val="0"/>
          <w:numId w:val="1004"/>
        </w:numPr>
        <w:pStyle w:val="Compact"/>
      </w:pPr>
      <w:r>
        <w:t xml:space="preserve">Allocate budget for specialized training in 3D modeling software.</w:t>
      </w:r>
    </w:p>
    <w:p>
      <w:pPr>
        <w:pStyle w:val="FirstParagraph"/>
      </w:pPr>
      <w:r>
        <w:t xml:space="preserve">This Peer Review Report confirms that the Graphic Designer is well-positioned to drive future creative initiatives and continue delivering high-impact visual solutions in Israel Tel Aviv and beyond.</w:t>
      </w:r>
    </w:p>
    <w:p>
      <w:pPr>
        <w:pStyle w:val="BodyText"/>
      </w:pPr>
      <w:r>
        <w:t xml:space="preserve">© 2023 Creative Department Internal Review. Confidential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Tel Aviv, Israel</dc:title>
  <dc:creator/>
  <dc:language>en</dc:language>
  <cp:keywords/>
  <dcterms:created xsi:type="dcterms:W3CDTF">2026-10-10T03:54:10Z</dcterms:created>
  <dcterms:modified xsi:type="dcterms:W3CDTF">2026-10-10T03:54:10Z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