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performance, leadership capabilities, and strategic alignment of the Human Resources Manager within our Wellington-based operations. As a central hub for business activity in New Zealand, Wellington presents unique challenges and opportunities regarding talent acquisition, employee engagement, and regulatory compliance. This review aims to provide a comprehensive assessment based on feedback from cross-functional peers, direct reports, and senior leadership stakeholders.</w:t>
      </w:r>
    </w:p>
    <w:p>
      <w:pPr>
        <w:pStyle w:val="BodyText"/>
      </w:pPr>
      <w:r>
        <w:t xml:space="preserve">The purpose of this document is to identify areas of excellence, highlight opportunities for professional development, and ensure that the Human Resources function continues to support the organization’s mission while adhering to the Employment Relations Act 2000 and other relevant New Zealand legislation.</w:t>
      </w:r>
    </w:p>
    <w:bookmarkEnd w:id="21"/>
    <w:bookmarkStart w:id="22" w:name="X9b802ec741ac39f4bef8a36490909f462c2186e"/>
    <w:p>
      <w:pPr>
        <w:pStyle w:val="Heading2"/>
      </w:pPr>
      <w:r>
        <w:t xml:space="preserve">2. Strategic Alignment and Business Partnership</w:t>
      </w:r>
    </w:p>
    <w:p>
      <w:pPr>
        <w:pStyle w:val="FirstParagraph"/>
      </w:pPr>
      <w:r>
        <w:t xml:space="preserve">The Human Resources Manager has demonstrated a strong ability to align HR strategies with the broader business objectives of the organization. In the competitive Wellington market, where skilled talent is in high demand, the manager has successfully implemented targeted recruitment strategies that have reduced time-to-hire by 15% over the review period.</w:t>
      </w:r>
    </w:p>
    <w:p>
      <w:pPr>
        <w:pStyle w:val="BodyText"/>
      </w:pPr>
      <w:r>
        <w:t xml:space="preserve">Peers from the Operations and Finance departments have noted the manager’s proactive approach to workforce planning. By anticipating seasonal fluctuations and project-based staffing needs, the Human Resources Manager has ensured that teams remain adequately resourced without incurring unnecessary overhead costs. This strategic foresight is particularly valuable in Wellington’s dynamic business environment, where agility is key to maintaining a competitive edge.</w:t>
      </w:r>
    </w:p>
    <w:bookmarkEnd w:id="22"/>
    <w:bookmarkStart w:id="23" w:name="employee-relations-and-engagement"/>
    <w:p>
      <w:pPr>
        <w:pStyle w:val="Heading2"/>
      </w:pPr>
      <w:r>
        <w:t xml:space="preserve">3. Employee Relations and Engagement</w:t>
      </w:r>
    </w:p>
    <w:p>
      <w:pPr>
        <w:pStyle w:val="FirstParagraph"/>
      </w:pPr>
      <w:r>
        <w:t xml:space="preserve">One of the standout areas of performance is the Human Resources Manager’s commitment to fostering a positive workplace culture. Feedback from employees across various levels indicates a high level of trust and approachability. The manager has successfully introduced regular town hall meetings and feedback sessions, which have improved transparency and communication within the organization.</w:t>
      </w:r>
    </w:p>
    <w:p>
      <w:pPr>
        <w:pStyle w:val="BodyText"/>
      </w:pPr>
      <w:r>
        <w:t xml:space="preserve">In line with New Zealand’s emphasis on workplace wellbeing, the Human Resources Manager has championed initiatives focused on mental health and work-life balance. These initiatives have been well-received and have contributed to a noticeable improvement in employee satisfaction scores. The manager’s ability to navigate complex employee relations issues with empathy and fairness has been particularly praised by peers.</w:t>
      </w:r>
    </w:p>
    <w:bookmarkEnd w:id="23"/>
    <w:bookmarkStart w:id="24" w:name="compliance-and-risk-management"/>
    <w:p>
      <w:pPr>
        <w:pStyle w:val="Heading2"/>
      </w:pPr>
      <w:r>
        <w:t xml:space="preserve">4. Compliance and Risk Management</w:t>
      </w:r>
    </w:p>
    <w:p>
      <w:pPr>
        <w:pStyle w:val="FirstParagraph"/>
      </w:pPr>
      <w:r>
        <w:t xml:space="preserve">Ensuring compliance with New Zealand employment laws is a critical responsibility for the Human Resources Manager. During the review period, the manager successfully updated company policies to reflect recent changes in legislation, including updates to health and safety protocols and privacy practices under the Privacy Act 2020.</w:t>
      </w:r>
    </w:p>
    <w:p>
      <w:pPr>
        <w:pStyle w:val="BodyText"/>
      </w:pPr>
      <w:r>
        <w:t xml:space="preserve">The manager’s thorough understanding of the Employment Relations Act 2000 has been instrumental in mitigating potential legal risks. Peers have noted the manager’s diligence in conducting regular audits of HR processes and ensuring that all documentation is up to date. This proactive approach to compliance has provided the organization with a strong foundation for managing employment relationships effectively.</w:t>
      </w:r>
    </w:p>
    <w:bookmarkEnd w:id="24"/>
    <w:bookmarkStart w:id="25" w:name="leadership-and-team-development"/>
    <w:p>
      <w:pPr>
        <w:pStyle w:val="Heading2"/>
      </w:pPr>
      <w:r>
        <w:t xml:space="preserve">5. Leadership and Team Development</w:t>
      </w:r>
    </w:p>
    <w:p>
      <w:pPr>
        <w:pStyle w:val="FirstParagraph"/>
      </w:pPr>
      <w:r>
        <w:t xml:space="preserve">The Human Resources Manager has demonstrated strong leadership skills in managing the HR team. Feedback from direct reports highlights the manager’s ability to provide clear direction, constructive feedback, and support for professional development. The manager has implemented a mentorship program that has helped junior HR staff build their skills and confidence.</w:t>
      </w:r>
    </w:p>
    <w:p>
      <w:pPr>
        <w:pStyle w:val="BodyText"/>
      </w:pPr>
      <w:r>
        <w:t xml:space="preserve">Additionally, the Human Resources Manager has taken a collaborative approach to leadership, actively seeking input from peers and stakeholders when making decisions. This inclusive style has fostered a sense of shared ownership and has strengthened relationships across the organization.</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in many areas, there are opportunities for further development. One area identified by peers is the need to enhance the use of data analytics in HR decision-making. While the manager has a good grasp of key metrics, there is potential to leverage advanced analytics to gain deeper insights into workforce trends and predict future needs more accurately.</w:t>
      </w:r>
    </w:p>
    <w:p>
      <w:pPr>
        <w:pStyle w:val="BodyText"/>
      </w:pPr>
      <w:r>
        <w:t xml:space="preserve">Another area for improvement is the integration of technology in HR processes. While the organization has invested in HR software, peers have noted that there is room for greater automation and efficiency in areas such as onboarding, performance management, and employee self-service. The Human Resources Manager is encouraged to explore innovative solutions that can streamline these processes and improve the overall employee experience.</w:t>
      </w:r>
    </w:p>
    <w:bookmarkEnd w:id="26"/>
    <w:bookmarkStart w:id="27" w:name="conclusion-and-recommendations"/>
    <w:p>
      <w:pPr>
        <w:pStyle w:val="Heading2"/>
      </w:pPr>
      <w:r>
        <w:t xml:space="preserve">7. Conclusion and Recommendations</w:t>
      </w:r>
    </w:p>
    <w:p>
      <w:pPr>
        <w:pStyle w:val="FirstParagraph"/>
      </w:pPr>
      <w:r>
        <w:t xml:space="preserve">Overall, the Human Resources Manager has demonstrated a high level of competence, dedication, and strategic thinking in their role. Their contributions have been instrumental in shaping a positive workplace culture, ensuring compliance with New Zealand employment laws, and supporting the organization’s growth in Wellington.</w:t>
      </w:r>
    </w:p>
    <w:p>
      <w:pPr>
        <w:pStyle w:val="BodyText"/>
      </w:pPr>
      <w:r>
        <w:t xml:space="preserve">Based on the findings of this Peer Review Report, the following recommendations are made:</w:t>
      </w:r>
    </w:p>
    <w:p>
      <w:pPr>
        <w:numPr>
          <w:ilvl w:val="0"/>
          <w:numId w:val="1001"/>
        </w:numPr>
        <w:pStyle w:val="Compact"/>
      </w:pPr>
      <w:r>
        <w:t xml:space="preserve">Invest in advanced HR analytics training to enhance data-driven decision-making.</w:t>
      </w:r>
    </w:p>
    <w:p>
      <w:pPr>
        <w:numPr>
          <w:ilvl w:val="0"/>
          <w:numId w:val="1001"/>
        </w:numPr>
        <w:pStyle w:val="Compact"/>
      </w:pPr>
      <w:r>
        <w:t xml:space="preserve">Explore opportunities to automate and streamline HR processes using technology.</w:t>
      </w:r>
    </w:p>
    <w:p>
      <w:pPr>
        <w:numPr>
          <w:ilvl w:val="0"/>
          <w:numId w:val="1001"/>
        </w:numPr>
        <w:pStyle w:val="Compact"/>
      </w:pPr>
      <w:r>
        <w:t xml:space="preserve">Continue to prioritize employee engagement and wellbeing initiatives.</w:t>
      </w:r>
    </w:p>
    <w:p>
      <w:pPr>
        <w:numPr>
          <w:ilvl w:val="0"/>
          <w:numId w:val="1001"/>
        </w:numPr>
        <w:pStyle w:val="Compact"/>
      </w:pPr>
      <w:r>
        <w:t xml:space="preserve">Maintain a proactive approach to compliance and risk management.</w:t>
      </w:r>
    </w:p>
    <w:p>
      <w:pPr>
        <w:pStyle w:val="FirstParagraph"/>
      </w:pPr>
      <w:r>
        <w:t xml:space="preserve">The Human Resources Manager is encouraged to take these recommendations into consideration as they continue to develop their skills and contribute to the organization’s success.</w:t>
      </w:r>
    </w:p>
    <w:bookmarkEnd w:id="27"/>
    <w:p>
      <w:pPr>
        <w:pStyle w:val="BodyText"/>
      </w:pPr>
      <w:r>
        <w:rPr>
          <w:bCs/>
          <w:b/>
        </w:rPr>
        <w:t xml:space="preserve">Prepared by:</w:t>
      </w:r>
    </w:p>
    <w:p>
      <w:pPr>
        <w:pStyle w:val="BodyText"/>
      </w:pPr>
      <w:r>
        <w:t xml:space="preserve">Peer Review Committee</w:t>
      </w:r>
    </w:p>
    <w:p>
      <w:pPr>
        <w:pStyle w:val="BodyText"/>
      </w:pPr>
      <w:r>
        <w:rPr>
          <w:bCs/>
          <w:b/>
        </w:rPr>
        <w:t xml:space="preserve">Approved by:</w:t>
      </w:r>
    </w:p>
    <w:p>
      <w:pPr>
        <w:pStyle w:val="BodyText"/>
      </w:pPr>
      <w:r>
        <w:t xml:space="preserve">Senior Leadership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