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Human Resources Manager</w:t>
      </w:r>
    </w:p>
    <w:p>
      <w:pPr>
        <w:pStyle w:val="BodyText"/>
      </w:pPr>
      <w:r>
        <w:t xml:space="preserve">Department</w:t>
      </w:r>
    </w:p>
    <w:p>
      <w:pPr>
        <w:pStyle w:val="BodyText"/>
      </w:pPr>
      <w:r>
        <w:t xml:space="preserve">Human Resources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Jeddah, Saudi Arabia</w:t>
      </w:r>
    </w:p>
    <w:p>
      <w:pPr>
        <w:pStyle w:val="BodyText"/>
      </w:pPr>
      <w:r>
        <w:t xml:space="preserve">Reviewer</w:t>
      </w:r>
    </w:p>
    <w:p>
      <w:pPr>
        <w:pStyle w:val="BodyText"/>
      </w:pP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Jeddah, Saudi Arabia. As a key stakeholder within the organization, the HR Manager plays a pivotal role in aligning human capital strategies with the broader business objectives, particularly within the context of the Kingdom’s rapidly evolving economic landscape. This review focuses on the manager’s ability to navigate local labor laws, foster a culturally inclusive workplace, and drive operational excellence in a competitive market like Jeddah.</w:t>
      </w:r>
    </w:p>
    <w:p>
      <w:pPr>
        <w:pStyle w:val="BodyText"/>
      </w:pPr>
      <w:r>
        <w:t xml:space="preserve">The assessment is based on direct collaboration, project outcomes, and observed interactions over the past twelve months. The overall performance is rated as highly effective, with specific commendations for adaptability and regulatory compliance, alongside constructive feedback regarding digital transformation initiatives.</w:t>
      </w:r>
    </w:p>
    <w:bookmarkEnd w:id="20"/>
    <w:bookmarkStart w:id="21" w:name="strategic-alignment-and-vision"/>
    <w:p>
      <w:pPr>
        <w:pStyle w:val="Heading2"/>
      </w:pPr>
      <w:r>
        <w:t xml:space="preserve">2. Strategic Alignment and Vision</w:t>
      </w:r>
    </w:p>
    <w:p>
      <w:pPr>
        <w:pStyle w:val="FirstParagraph"/>
      </w:pPr>
      <w:r>
        <w:t xml:space="preserve">One of the primary responsibilities of the Human Resources Manager in this region is to ensure that workforce planning aligns with both corporate goals and national directives. The manager has demonstrated a strong understanding of the strategic imperatives facing businesses in Saudi Arabia. Specifically, the integration of Vision 2030 principles into our internal HR policies has been notable.</w:t>
      </w:r>
    </w:p>
    <w:p>
      <w:pPr>
        <w:pStyle w:val="BodyText"/>
      </w:pPr>
      <w:r>
        <w:t xml:space="preserve">The manager has successfully championed the Saudization (Nitaqat) program, ensuring that our Jeddah operations remain in the highest compliance tier. This was achieved not merely through administrative adjustments but by developing robust training and mentorship programs that empower Saudi nationals within the organization. This strategic foresight has protected the company from regulatory risks while enhancing our reputation as a responsible corporate citizen in the Kingdom.</w:t>
      </w:r>
    </w:p>
    <w:bookmarkEnd w:id="21"/>
    <w:bookmarkStart w:id="22" w:name="Xd2e7847f6e0bef3d9fa6904ff6fc97e98005021"/>
    <w:p>
      <w:pPr>
        <w:pStyle w:val="Heading2"/>
      </w:pPr>
      <w:r>
        <w:t xml:space="preserve">3. Cultural Intelligence and Diversity Management</w:t>
      </w:r>
    </w:p>
    <w:p>
      <w:pPr>
        <w:pStyle w:val="FirstParagraph"/>
      </w:pPr>
      <w:r>
        <w:t xml:space="preserve">Jeddah is a cosmopolitan hub with a workforce comprising diverse nationalities and cultural backgrounds. The Human Resources Manager has exhibited exceptional cultural intelligence in managing this diversity. The ability to bridge cultural gaps between local Saudi staff and expatriate employees is a critical success factor in this region.</w:t>
      </w:r>
    </w:p>
    <w:p>
      <w:pPr>
        <w:pStyle w:val="BodyText"/>
      </w:pPr>
      <w:r>
        <w:t xml:space="preserve">The manager has implemented inclusive policies that respect local customs and religious practices, such as flexible scheduling during Ramadan and the provision of prayer facilities, while maintaining a global standard of professionalism. This balance has significantly improved employee morale and retention rates. Furthermore, the manager’s approach to conflict resolution is culturally sensitive, ensuring that disputes are handled with dignity and in accordance with both local norms and international best practices.</w:t>
      </w:r>
    </w:p>
    <w:bookmarkEnd w:id="22"/>
    <w:bookmarkStart w:id="23" w:name="operational-excellence-and-compliance"/>
    <w:p>
      <w:pPr>
        <w:pStyle w:val="Heading2"/>
      </w:pPr>
      <w:r>
        <w:t xml:space="preserve">4. Operational Excellence and Compliance</w:t>
      </w:r>
    </w:p>
    <w:p>
      <w:pPr>
        <w:pStyle w:val="FirstParagraph"/>
      </w:pPr>
      <w:r>
        <w:t xml:space="preserve">From an operational standpoint, the Human Resources Manager has maintained rigorous standards of compliance with the Saudi Labor Law and the regulations enforced by the Ministry of Human Resources and Social Development (MHRSD). The transition to the Qiwa platform and the management of the Muqeem system have been handled with precision, ensuring that all employment contracts, visas, and work permits are up to date.</w:t>
      </w:r>
    </w:p>
    <w:p>
      <w:pPr>
        <w:pStyle w:val="BodyText"/>
      </w:pPr>
      <w:r>
        <w:t xml:space="preserve">The manager has streamlined recruitment processes in Jeddah, reducing the time-to-hire for critical roles by 20%. This efficiency is particularly impressive given the competitive nature of the local talent market. Additionally, the implementation of a structured performance management system has provided clearer career pathways for employees, fostering a culture of continuous improvement and accountability.</w:t>
      </w:r>
    </w:p>
    <w:bookmarkEnd w:id="23"/>
    <w:bookmarkStart w:id="24" w:name="leadership-and-stakeholder-engagement"/>
    <w:p>
      <w:pPr>
        <w:pStyle w:val="Heading2"/>
      </w:pPr>
      <w:r>
        <w:t xml:space="preserve">5. Leadership and Stakeholder Engagement</w:t>
      </w:r>
    </w:p>
    <w:p>
      <w:pPr>
        <w:pStyle w:val="FirstParagraph"/>
      </w:pPr>
      <w:r>
        <w:t xml:space="preserve">As a leader, the Human Resources Manager has built strong relationships with department heads and senior management. The ability to communicate complex HR data in a way that informs business decision-making is a standout strength. Regular town halls and feedback sessions have been organized to keep the workforce engaged and informed about organizational changes.</w:t>
      </w:r>
    </w:p>
    <w:p>
      <w:pPr>
        <w:pStyle w:val="BodyText"/>
      </w:pPr>
      <w:r>
        <w:t xml:space="preserve">The manager has also demonstrated resilience in handling high-pressure situations, such as sudden regulatory changes or labor disputes. Their calm and decisive leadership style has instilled confidence among the team and stakeholders alike. Moreover, the manager has actively mentored junior HR staff, contributing to the development of a capable and knowledgeable HR team in the Jeddah office.</w:t>
      </w:r>
    </w:p>
    <w:bookmarkEnd w:id="24"/>
    <w:bookmarkStart w:id="25" w:name="areas-for-development"/>
    <w:p>
      <w:pPr>
        <w:pStyle w:val="Heading2"/>
      </w:pPr>
      <w:r>
        <w:t xml:space="preserve">6. Areas for Development</w:t>
      </w:r>
    </w:p>
    <w:p>
      <w:pPr>
        <w:pStyle w:val="FirstParagraph"/>
      </w:pPr>
      <w:r>
        <w:t xml:space="preserve">While the performance has been exemplary, there are areas where further development is recommended to ensure continued success:</w:t>
      </w:r>
    </w:p>
    <w:p>
      <w:pPr>
        <w:numPr>
          <w:ilvl w:val="0"/>
          <w:numId w:val="1001"/>
        </w:numPr>
        <w:pStyle w:val="Compact"/>
      </w:pPr>
      <w:r>
        <w:rPr>
          <w:bCs/>
          <w:b/>
        </w:rPr>
        <w:t xml:space="preserve">Digital Transformation:</w:t>
      </w:r>
      <w:r>
        <w:t xml:space="preserve"> </w:t>
      </w:r>
      <w:r>
        <w:t xml:space="preserve">While compliance systems are well-managed, there is an opportunity to further leverage HR analytics and AI-driven tools for talent acquisition and employee engagement. Adopting more advanced HR tech solutions could enhance efficiency and provide deeper insights into workforce trends.</w:t>
      </w:r>
    </w:p>
    <w:p>
      <w:pPr>
        <w:numPr>
          <w:ilvl w:val="0"/>
          <w:numId w:val="1001"/>
        </w:numPr>
        <w:pStyle w:val="Compact"/>
      </w:pPr>
      <w:r>
        <w:rPr>
          <w:bCs/>
          <w:b/>
        </w:rPr>
        <w:t xml:space="preserve">Succession Planning:</w:t>
      </w:r>
      <w:r>
        <w:t xml:space="preserve"> </w:t>
      </w:r>
      <w:r>
        <w:t xml:space="preserve">Although Saudization is well-managed, a more formalized succession planning framework for key leadership roles would ensure long-term stability and knowledge transfer within the organization.</w:t>
      </w:r>
    </w:p>
    <w:p>
      <w:pPr>
        <w:numPr>
          <w:ilvl w:val="0"/>
          <w:numId w:val="1001"/>
        </w:numPr>
        <w:pStyle w:val="Compact"/>
      </w:pPr>
      <w:r>
        <w:rPr>
          <w:bCs/>
          <w:b/>
        </w:rPr>
        <w:t xml:space="preserve">Employee Well-being Programs:</w:t>
      </w:r>
      <w:r>
        <w:t xml:space="preserve"> </w:t>
      </w:r>
      <w:r>
        <w:t xml:space="preserve">Expanding mental health and well-being initiatives, tailored to the local context, could further enhance employee satisfaction and productivity in the demanding environment of Jeddah.</w:t>
      </w:r>
    </w:p>
    <w:bookmarkEnd w:id="25"/>
    <w:bookmarkStart w:id="26" w:name="conclusion"/>
    <w:p>
      <w:pPr>
        <w:pStyle w:val="Heading2"/>
      </w:pPr>
      <w:r>
        <w:t xml:space="preserve">7. Conclusion</w:t>
      </w:r>
    </w:p>
    <w:p>
      <w:pPr>
        <w:pStyle w:val="FirstParagraph"/>
      </w:pPr>
      <w:r>
        <w:t xml:space="preserve">In conclusion, the Human Resources Manager has delivered outstanding results during this review period. Their deep understanding of the Saudi Arabian labor market, combined with strong leadership skills and a commitment to cultural inclusivity, has made them an invaluable asset to the organization. The strategic initiatives undertaken have not only ensured compliance but have also contributed to a positive and productive work environment in Jeddah.</w:t>
      </w:r>
    </w:p>
    <w:p>
      <w:pPr>
        <w:pStyle w:val="BodyText"/>
      </w:pPr>
      <w:r>
        <w:t xml:space="preserve">It is recommended that the manager continues to focus on digital innovation and long-term talent development to sustain this high level of performance. This Peer Review Report affirms the manager’s capability to lead the HR function effectively in alignment with the company’s goals and the dynamic requirements of the Saudi market.</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Date:</w:t>
      </w:r>
      <w:r>
        <w:br/>
      </w:r>
      <w:r>
        <w:br/>
      </w:r>
      <w:r>
        <w:t xml:space="preserve">[Insert Date]</w:t>
      </w:r>
    </w:p>
    <w:p>
      <w:pPr>
        <w:pStyle w:val="BodyText"/>
      </w:pPr>
      <w:r>
        <w:t xml:space="preserve">Confidential Document – For Internal Use Only</w:t>
      </w:r>
    </w:p>
    <w:p>
      <w:pPr>
        <w:pStyle w:val="BodyText"/>
      </w:pPr>
      <w:r>
        <w:t xml:space="preserve">Generated for Peer Review Process – Jeddah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