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Position:</w:t>
      </w:r>
      <w:r>
        <w:t xml:space="preserve"> </w:t>
      </w:r>
      <w:r>
        <w:t xml:space="preserve">Human Resources Manager</w:t>
      </w:r>
    </w:p>
    <w:p>
      <w:pPr>
        <w:pStyle w:val="BodyText"/>
      </w:pPr>
      <w:r>
        <w:t xml:space="preserve">Location:</w:t>
      </w:r>
      <w:r>
        <w:t xml:space="preserve"> </w:t>
      </w:r>
      <w:r>
        <w:t xml:space="preserve">Saudi Arabia, Riyadh</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alignment of the Human Resources Manager based in our Riyadh headquarters. As the business landscape in Saudi Arabia continues to evolve rapidly under the Vision 2030 initiative, the role of the Human Resources Manager is pivotal in ensuring organizational agility, compliance, and cultural cohesion. This document provides a comprehensive assessment based on feedback from cross-functional peers, direct reports, and senior leadership stakeholders.</w:t>
      </w:r>
    </w:p>
    <w:p>
      <w:pPr>
        <w:pStyle w:val="BodyText"/>
      </w:pPr>
      <w:r>
        <w:t xml:space="preserve">The overarching goal of this review is to identify areas of excellence and opportunities for growth, ensuring that the Human Resources Manager is effectively supporting the company's expansion within the Kingdom. The assessment focuses on key competencies including Saudization (Nitaqat) compliance, talent acquisition, employee engagement, and the implementation of modern HR technologies.</w:t>
      </w:r>
    </w:p>
    <w:bookmarkEnd w:id="21"/>
    <w:bookmarkStart w:id="22" w:name="X281e5d1f9076c2764d9a2372b5d4e74190639f5"/>
    <w:p>
      <w:pPr>
        <w:pStyle w:val="Heading2"/>
      </w:pPr>
      <w:r>
        <w:t xml:space="preserve">2. Strategic Alignment and Vision 2030 Compliance</w:t>
      </w:r>
    </w:p>
    <w:p>
      <w:pPr>
        <w:pStyle w:val="FirstParagraph"/>
      </w:pPr>
      <w:r>
        <w:t xml:space="preserve">A critical aspect of this role in Riyadh is the ability to align HR strategies with the national goals of Vision 2030. The Human Resources Manager has demonstrated a strong understanding of the regulatory environment in Saudi Arabia. Peers have noted a significant improvement in the organization's Nitaqat status, achieved through proactive recruitment strategies that prioritize Saudi nationals without compromising operational efficiency.</w:t>
      </w:r>
    </w:p>
    <w:p>
      <w:pPr>
        <w:pStyle w:val="BodyText"/>
      </w:pPr>
      <w:r>
        <w:t xml:space="preserve">The manager has successfully integrated Saudization targets into the broader workforce planning process. By collaborating closely with local recruitment agencies and educational institutions in Riyadh, the Human Resources Manager has established a robust pipeline for local talent. This strategic foresight has not only ensured legal compliance but has also enhanced the company's reputation as a socially responsible employer in the region.</w:t>
      </w:r>
    </w:p>
    <w:bookmarkEnd w:id="22"/>
    <w:bookmarkStart w:id="23" w:name="talent-acquisition-and-development"/>
    <w:p>
      <w:pPr>
        <w:pStyle w:val="Heading2"/>
      </w:pPr>
      <w:r>
        <w:t xml:space="preserve">3. Talent Acquisition and Development</w:t>
      </w:r>
    </w:p>
    <w:p>
      <w:pPr>
        <w:pStyle w:val="FirstParagraph"/>
      </w:pPr>
      <w:r>
        <w:t xml:space="preserve">In the competitive talent market of Riyadh, attracting and retaining top-tier professionals is a constant challenge. The Human Resources Manager has been commended for modernizing the recruitment process. The introduction of data-driven hiring practices has reduced time-to-hire metrics by approximately 20% over the review period.</w:t>
      </w:r>
    </w:p>
    <w:p>
      <w:pPr>
        <w:pStyle w:val="BodyText"/>
      </w:pPr>
      <w:r>
        <w:t xml:space="preserve">Furthermore, the manager has placed a strong emphasis on professional development. Peers have observed the successful launch of several training programs designed to upskill the local workforce. These initiatives are particularly relevant in the current economic climate, where continuous learning is essential for maintaining a competitive edge. The Human Resources Manager's ability to balance the needs of expatriate staff with the development goals of Saudi employees has been highlighted as a key strength.</w:t>
      </w:r>
    </w:p>
    <w:bookmarkEnd w:id="23"/>
    <w:bookmarkStart w:id="24" w:name="X91bad6f3da438ce557d2eee45430a602a943af1"/>
    <w:p>
      <w:pPr>
        <w:pStyle w:val="Heading2"/>
      </w:pPr>
      <w:r>
        <w:t xml:space="preserve">4. Cultural Intelligence and Employee Relations</w:t>
      </w:r>
    </w:p>
    <w:p>
      <w:pPr>
        <w:pStyle w:val="FirstParagraph"/>
      </w:pPr>
      <w:r>
        <w:t xml:space="preserve">Operating in Riyadh requires a high degree of cultural intelligence. The Human Resources Manager has shown exceptional sensitivity to the diverse cultural dynamics within the organization. Feedback indicates that the manager has fostered an inclusive work environment that respects local customs and religious practices while maintaining a global corporate standard.</w:t>
      </w:r>
    </w:p>
    <w:p>
      <w:pPr>
        <w:pStyle w:val="BodyText"/>
      </w:pPr>
      <w:r>
        <w:t xml:space="preserve">The manager's approach to conflict resolution has been particularly effective. By employing culturally appropriate communication strategies, the Human Resources Manager has successfully mediated several workplace disputes, ensuring minimal disruption to business operations. This ability to navigate complex interpersonal dynamics is crucial for maintaining high morale and productivity in a multicultural team setting.</w:t>
      </w:r>
    </w:p>
    <w:bookmarkEnd w:id="24"/>
    <w:bookmarkStart w:id="25" w:name="X18ea86a958dd8573f8bbd3f5026cabe38864ab5"/>
    <w:p>
      <w:pPr>
        <w:pStyle w:val="Heading2"/>
      </w:pPr>
      <w:r>
        <w:t xml:space="preserve">5. Operational Efficiency and Technology Adoption</w:t>
      </w:r>
    </w:p>
    <w:p>
      <w:pPr>
        <w:pStyle w:val="FirstParagraph"/>
      </w:pPr>
      <w:r>
        <w:t xml:space="preserve">The transition to digital HR solutions is a priority for many organizations in Saudi Arabia. The Human Resources Manager has led the implementation of a new Human Resource Information System (HRIS) that has streamlined payroll processing, attendance tracking, and performance management. This technological upgrade has significantly reduced administrative burdens, allowing the HR team to focus on more strategic initiatives.</w:t>
      </w:r>
    </w:p>
    <w:p>
      <w:pPr>
        <w:pStyle w:val="BodyText"/>
      </w:pPr>
      <w:r>
        <w:t xml:space="preserve">Peers have praised the manager's ability to manage this change effectively. Clear communication and comprehensive training sessions ensured a smooth transition for all employees. The adoption of these digital tools has also enhanced data security and compliance with Saudi data protection regulations.</w:t>
      </w:r>
    </w:p>
    <w:bookmarkEnd w:id="25"/>
    <w:bookmarkStart w:id="26" w:name="areas-for-improvement"/>
    <w:p>
      <w:pPr>
        <w:pStyle w:val="Heading2"/>
      </w:pPr>
      <w:r>
        <w:t xml:space="preserve">6. Areas for Improvement</w:t>
      </w:r>
    </w:p>
    <w:p>
      <w:pPr>
        <w:pStyle w:val="FirstParagraph"/>
      </w:pPr>
      <w:r>
        <w:t xml:space="preserve">While the performance of the Human Resources Manager has been largely positive, there are areas that require attention. One area identified by peers is the need for more structured succession planning. As the company grows in Riyadh, it is essential to have a clear roadmap for developing future leaders within the organization.</w:t>
      </w:r>
    </w:p>
    <w:p>
      <w:pPr>
        <w:pStyle w:val="BodyText"/>
      </w:pPr>
      <w:r>
        <w:t xml:space="preserve">Additionally, there is an opportunity to enhance employee engagement initiatives. While satisfaction levels are generally high, feedback suggests that more regular and interactive communication channels could further strengthen the connection between leadership and staff. The Human Resources Manager is encouraged to explore innovative engagement strategies that resonate with the younger demographic of the Saudi workforce.</w:t>
      </w:r>
    </w:p>
    <w:bookmarkEnd w:id="26"/>
    <w:bookmarkStart w:id="27" w:name="conclusion-and-recommendations"/>
    <w:p>
      <w:pPr>
        <w:pStyle w:val="Heading2"/>
      </w:pPr>
      <w:r>
        <w:t xml:space="preserve">7. Conclusion and Recommendations</w:t>
      </w:r>
    </w:p>
    <w:p>
      <w:pPr>
        <w:pStyle w:val="FirstParagraph"/>
      </w:pPr>
      <w:r>
        <w:t xml:space="preserve">In conclusion, the Human Resources Manager has demonstrated strong leadership, strategic thinking, and operational competence. Their contributions have been instrumental in aligning the organization with the regulatory and cultural landscape of Saudi Arabia, Riyadh. The manager's ability to drive Saudization initiatives, modernize HR processes, and foster a positive workplace culture has been highly valued by peers and stakeholders alike.</w:t>
      </w:r>
    </w:p>
    <w:p>
      <w:pPr>
        <w:pStyle w:val="BodyText"/>
      </w:pPr>
      <w:r>
        <w:t xml:space="preserve">To further enhance their impact, it is recommended that the Human Resources Manager focus on developing a robust succession planning framework and implementing more dynamic employee engagement programs. By addressing these areas, the manager will be well-positioned to support the company's continued growth and success in the Kingdom.</w:t>
      </w:r>
    </w:p>
    <w:bookmarkEnd w:id="27"/>
    <w:p>
      <w:pPr>
        <w:pStyle w:val="BodyText"/>
      </w:pPr>
      <w:r>
        <w:rPr>
          <w:bCs/>
          <w:b/>
        </w:rPr>
        <w:t xml:space="preserve">Reviewed By:</w:t>
      </w:r>
      <w:r>
        <w:t xml:space="preserve"> </w:t>
      </w:r>
      <w:r>
        <w:t xml:space="preserve">[Peer Name]</w:t>
      </w:r>
    </w:p>
    <w:p>
      <w:pPr>
        <w:pStyle w:val="BodyText"/>
      </w:pPr>
      <w:r>
        <w:rPr>
          <w:bCs/>
          <w:b/>
        </w:rPr>
        <w:t xml:space="preserve">Title:</w:t>
      </w:r>
      <w:r>
        <w:t xml:space="preserve"> </w:t>
      </w:r>
      <w:r>
        <w:t xml:space="preserve">[Peer Title]</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[Peer Name]</w:t>
      </w:r>
    </w:p>
    <w:p>
      <w:pPr>
        <w:pStyle w:val="BodyText"/>
      </w:pPr>
      <w:r>
        <w:rPr>
          <w:bCs/>
          <w:b/>
        </w:rPr>
        <w:t xml:space="preserve">Title:</w:t>
      </w:r>
      <w:r>
        <w:t xml:space="preserve"> </w:t>
      </w:r>
      <w:r>
        <w:t xml:space="preserve">[Peer Title]</w:t>
      </w:r>
    </w:p>
    <w:p>
      <w:pPr>
        <w:pStyle w:val="BodyText"/>
      </w:pPr>
      <w:r>
        <w:rPr>
          <w:bCs/>
          <w:b/>
        </w:rPr>
        <w:t xml:space="preserve">Date:</w:t>
      </w:r>
      <w:r>
        <w:t xml:space="preserve"> </w:t>
      </w:r>
      <w:r>
        <w:t xml:space="preserve">_______________</w:t>
      </w:r>
    </w:p>
    <w:p>
      <w:pPr>
        <w:pStyle w:val="BodyText"/>
      </w:pPr>
      <w:r>
        <w:rPr>
          <w:bCs/>
          <w:b/>
        </w:rPr>
        <w:t xml:space="preserve">CONFIDENTIAL:</w:t>
      </w:r>
      <w:r>
        <w:t xml:space="preserve"> </w:t>
      </w:r>
      <w:r>
        <w:t xml:space="preserve">This Peer Review Report is intended solely for the use of the individual(s) or entity to whom it is addressed and contains information that may be privileged, confidential, or exempt from disclosure under applicable law. If you are not the intended recipient, you are hereby notified that any dissemination, distribution, or copying of this report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2026-10-10T02:01:10Z</dcterms:created>
  <dcterms:modified xsi:type="dcterms:W3CDTF">2026-10-10T02:01:10Z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