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t xml:space="preserve">Judicial Performance Assessment &amp; Professional Conduct Evaluation</w:t>
      </w:r>
    </w:p>
    <w:bookmarkEnd w:id="20"/>
    <w:p>
      <w:pPr>
        <w:pStyle w:val="BodyText"/>
      </w:pPr>
      <w:r>
        <w:rPr>
          <w:bCs/>
          <w:b/>
        </w:rPr>
        <w:t xml:space="preserve">Date of Report:</w:t>
      </w:r>
      <w:r>
        <w:t xml:space="preserve"> </w:t>
      </w:r>
      <w:r>
        <w:t xml:space="preserve">October 24, 2023</w:t>
      </w:r>
    </w:p>
    <w:p>
      <w:pPr>
        <w:pStyle w:val="BodyText"/>
      </w:pPr>
      <w:r>
        <w:rPr>
          <w:bCs/>
          <w:b/>
        </w:rPr>
        <w:t xml:space="preserve">Review Period:</w:t>
      </w:r>
      <w:r>
        <w:t xml:space="preserve"> </w:t>
      </w:r>
      <w:r>
        <w:t xml:space="preserve">January 2023 – September 2023</w:t>
      </w:r>
    </w:p>
    <w:p>
      <w:pPr>
        <w:pStyle w:val="BodyText"/>
      </w:pPr>
      <w:r>
        <w:rPr>
          <w:bCs/>
          <w:b/>
        </w:rPr>
        <w:t xml:space="preserve">Jurisdiction:</w:t>
      </w:r>
      <w:r>
        <w:t xml:space="preserve"> </w:t>
      </w:r>
      <w:r>
        <w:t xml:space="preserve">State of Victoria, Australia Melbourne</w:t>
      </w:r>
    </w:p>
    <w:p>
      <w:pPr>
        <w:pStyle w:val="BodyText"/>
      </w:pPr>
      <w:r>
        <w:rPr>
          <w:bCs/>
          <w:b/>
        </w:rPr>
        <w:t xml:space="preserve">Court Level:</w:t>
      </w:r>
      <w:r>
        <w:t xml:space="preserve"> </w:t>
      </w:r>
      <w:r>
        <w:t xml:space="preserve">County Court of Victoria</w:t>
      </w:r>
    </w:p>
    <w:p>
      <w:pPr>
        <w:pStyle w:val="BodyText"/>
      </w:pPr>
      <w:r>
        <w:rPr>
          <w:bCs/>
          <w:b/>
        </w:rPr>
        <w:t xml:space="preserve">Subject:</w:t>
      </w:r>
      <w:r>
        <w:t xml:space="preserve"> </w:t>
      </w:r>
      <w:r>
        <w:t xml:space="preserve">The Honourable Judge [Name Redacted]</w:t>
      </w:r>
    </w:p>
    <w:p>
      <w:pPr>
        <w:pStyle w:val="BodyText"/>
      </w:pPr>
      <w:r>
        <w:rPr>
          <w:bCs/>
          <w:b/>
        </w:rPr>
        <w:t xml:space="preserve">Review Panel:</w:t>
      </w:r>
      <w:r>
        <w:t xml:space="preserve"> </w:t>
      </w:r>
      <w:r>
        <w:t xml:space="preserve">Independent Judicial Peer Review Committee</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professional performance, judicial temperament, and adherence to legal standards of a sitting</w:t>
      </w:r>
      <w:r>
        <w:t xml:space="preserve"> </w:t>
      </w:r>
      <w:r>
        <w:rPr>
          <w:bCs/>
          <w:b/>
        </w:rPr>
        <w:t xml:space="preserve">Judge</w:t>
      </w:r>
      <w:r>
        <w:t xml:space="preserve"> </w:t>
      </w:r>
      <w:r>
        <w:t xml:space="preserve">within the jurisdiction of</w:t>
      </w:r>
      <w:r>
        <w:t xml:space="preserve"> </w:t>
      </w:r>
      <w:r>
        <w:rPr>
          <w:bCs/>
          <w:b/>
        </w:rPr>
        <w:t xml:space="preserve">Australia Melbourne</w:t>
      </w:r>
      <w:r>
        <w:t xml:space="preserve">. The review process was conducted in strict accordance with the</w:t>
      </w:r>
      <w:r>
        <w:t xml:space="preserve"> </w:t>
      </w:r>
      <w:r>
        <w:rPr>
          <w:iCs/>
          <w:i/>
        </w:rPr>
        <w:t xml:space="preserve">Judicial Officers Act 1986 (Vic)</w:t>
      </w:r>
      <w:r>
        <w:t xml:space="preserve"> </w:t>
      </w:r>
      <w:r>
        <w:t xml:space="preserve">and the</w:t>
      </w:r>
      <w:r>
        <w:t xml:space="preserve"> </w:t>
      </w:r>
      <w:r>
        <w:rPr>
          <w:iCs/>
          <w:i/>
        </w:rPr>
        <w:t xml:space="preserve">Model Code of Conduct for Judicial Officers in Australia</w:t>
      </w:r>
      <w:r>
        <w:t xml:space="preserve">.</w:t>
      </w:r>
    </w:p>
    <w:p>
      <w:pPr>
        <w:pStyle w:val="BodyText"/>
      </w:pPr>
      <w:r>
        <w:t xml:space="preserve">The primary objective of this assessment is to ensure that the judicial officer maintains the highest standards of integrity, impartiality, and competence expected by the Victorian legal community and the public. The review panel, comprising senior judicial officers and legal practitioners from Melbourne, analyzed case files, observed court proceedings, and gathered confidential feedback from legal counsel. The findings indicate that the</w:t>
      </w:r>
      <w:r>
        <w:t xml:space="preserve"> </w:t>
      </w:r>
      <w:r>
        <w:rPr>
          <w:bCs/>
          <w:b/>
        </w:rPr>
        <w:t xml:space="preserve">Judge</w:t>
      </w:r>
      <w:r>
        <w:t xml:space="preserve"> </w:t>
      </w:r>
      <w:r>
        <w:t xml:space="preserve">demonstrates a robust understanding of Victorian law, though specific areas regarding case management efficiency require attention.</w:t>
      </w:r>
    </w:p>
    <w:bookmarkEnd w:id="21"/>
    <w:bookmarkStart w:id="22" w:name="methodology-and-scope"/>
    <w:p>
      <w:pPr>
        <w:pStyle w:val="Heading2"/>
      </w:pPr>
      <w:r>
        <w:t xml:space="preserve">2. Methodology and Scope</w:t>
      </w:r>
    </w:p>
    <w:p>
      <w:pPr>
        <w:pStyle w:val="FirstParagraph"/>
      </w:pPr>
      <w:r>
        <w:t xml:space="preserve">The scope of this</w:t>
      </w:r>
      <w:r>
        <w:t xml:space="preserve"> </w:t>
      </w:r>
      <w:r>
        <w:rPr>
          <w:bCs/>
          <w:b/>
        </w:rPr>
        <w:t xml:space="preserve">Peer Review Report</w:t>
      </w:r>
      <w:r>
        <w:t xml:space="preserve"> </w:t>
      </w:r>
      <w:r>
        <w:t xml:space="preserve">encompasses the judicial activities conducted in the Melbourne metropolitan courts over the specified review period. The methodology employed a multi-faceted approach to ensure a comprehensive evaluation:</w:t>
      </w:r>
    </w:p>
    <w:p>
      <w:pPr>
        <w:numPr>
          <w:ilvl w:val="0"/>
          <w:numId w:val="1001"/>
        </w:numPr>
        <w:pStyle w:val="Compact"/>
      </w:pPr>
      <w:r>
        <w:rPr>
          <w:bCs/>
          <w:b/>
        </w:rPr>
        <w:t xml:space="preserve">Case File Analysis:</w:t>
      </w:r>
      <w:r>
        <w:t xml:space="preserve"> </w:t>
      </w:r>
      <w:r>
        <w:t xml:space="preserve">A random selection of 50 finalized cases was reviewed to assess the quality of written judgments, reasoning, and application of statutory law.</w:t>
      </w:r>
    </w:p>
    <w:p>
      <w:pPr>
        <w:numPr>
          <w:ilvl w:val="0"/>
          <w:numId w:val="1001"/>
        </w:numPr>
        <w:pStyle w:val="Compact"/>
      </w:pPr>
      <w:r>
        <w:rPr>
          <w:bCs/>
          <w:b/>
        </w:rPr>
        <w:t xml:space="preserve">Courtroom Observation:</w:t>
      </w:r>
      <w:r>
        <w:t xml:space="preserve"> </w:t>
      </w:r>
      <w:r>
        <w:t xml:space="preserve">The review panel observed 15 live hearings to evaluate the</w:t>
      </w:r>
      <w:r>
        <w:t xml:space="preserve"> </w:t>
      </w:r>
      <w:r>
        <w:rPr>
          <w:bCs/>
          <w:b/>
        </w:rPr>
        <w:t xml:space="preserve">Judge</w:t>
      </w:r>
      <w:r>
        <w:t xml:space="preserve">'s interaction with counsel, witnesses, and self-represented litigants.</w:t>
      </w:r>
    </w:p>
    <w:p>
      <w:pPr>
        <w:numPr>
          <w:ilvl w:val="0"/>
          <w:numId w:val="1001"/>
        </w:numPr>
        <w:pStyle w:val="Compact"/>
      </w:pPr>
      <w:r>
        <w:rPr>
          <w:bCs/>
          <w:b/>
        </w:rPr>
        <w:t xml:space="preserve">Stakeholder Feedback:</w:t>
      </w:r>
      <w:r>
        <w:t xml:space="preserve"> </w:t>
      </w:r>
      <w:r>
        <w:t xml:space="preserve">Anonymous surveys were distributed to barristers and solicitors practicing in</w:t>
      </w:r>
      <w:r>
        <w:t xml:space="preserve"> </w:t>
      </w:r>
      <w:r>
        <w:rPr>
          <w:bCs/>
          <w:b/>
        </w:rPr>
        <w:t xml:space="preserve">Australia Melbourne</w:t>
      </w:r>
      <w:r>
        <w:t xml:space="preserve"> </w:t>
      </w:r>
      <w:r>
        <w:t xml:space="preserve">who have appeared before the subject</w:t>
      </w:r>
      <w:r>
        <w:t xml:space="preserve"> </w:t>
      </w:r>
      <w:r>
        <w:rPr>
          <w:bCs/>
          <w:b/>
        </w:rPr>
        <w:t xml:space="preserve">Judge</w:t>
      </w:r>
      <w:r>
        <w:t xml:space="preserve">.</w:t>
      </w:r>
    </w:p>
    <w:p>
      <w:pPr>
        <w:pStyle w:val="FirstParagraph"/>
      </w:pPr>
      <w:r>
        <w:t xml:space="preserve">This methodology ensures that the evaluation reflects the practical realities of the Melbourne legal environment, where high caseloads and diverse community expectations place significant demands on judicial officers.</w:t>
      </w:r>
    </w:p>
    <w:bookmarkEnd w:id="22"/>
    <w:bookmarkStart w:id="25" w:name="assessment-of-judicial-competence"/>
    <w:p>
      <w:pPr>
        <w:pStyle w:val="Heading2"/>
      </w:pPr>
      <w:r>
        <w:t xml:space="preserve">3. Assessment of Judicial Competence</w:t>
      </w:r>
    </w:p>
    <w:p>
      <w:pPr>
        <w:pStyle w:val="FirstParagraph"/>
      </w:pPr>
      <w:r>
        <w:t xml:space="preserve">The core function of a</w:t>
      </w:r>
      <w:r>
        <w:t xml:space="preserve"> </w:t>
      </w:r>
      <w:r>
        <w:rPr>
          <w:bCs/>
          <w:b/>
        </w:rPr>
        <w:t xml:space="preserve">Judge</w:t>
      </w:r>
      <w:r>
        <w:t xml:space="preserve"> </w:t>
      </w:r>
      <w:r>
        <w:t xml:space="preserve">is the accurate application of law to fact. In the context of</w:t>
      </w:r>
      <w:r>
        <w:t xml:space="preserve"> </w:t>
      </w:r>
      <w:r>
        <w:rPr>
          <w:bCs/>
          <w:b/>
        </w:rPr>
        <w:t xml:space="preserve">Australia Melbourne</w:t>
      </w:r>
      <w:r>
        <w:t xml:space="preserve">, where complex commercial, criminal, and civil matters are frequently litigated, legal acumen is paramount.</w:t>
      </w:r>
    </w:p>
    <w:bookmarkStart w:id="23" w:name="legal-knowledge-and-reasoning"/>
    <w:p>
      <w:pPr>
        <w:pStyle w:val="Heading3"/>
      </w:pPr>
      <w:r>
        <w:t xml:space="preserve">3.1 Legal Knowledge and Reasoning</w:t>
      </w:r>
    </w:p>
    <w:p>
      <w:pPr>
        <w:pStyle w:val="FirstParagraph"/>
      </w:pPr>
      <w:r>
        <w:t xml:space="preserve">The subject</w:t>
      </w:r>
      <w:r>
        <w:t xml:space="preserve"> </w:t>
      </w:r>
      <w:r>
        <w:rPr>
          <w:bCs/>
          <w:b/>
        </w:rPr>
        <w:t xml:space="preserve">Judge</w:t>
      </w:r>
      <w:r>
        <w:t xml:space="preserve"> </w:t>
      </w:r>
      <w:r>
        <w:t xml:space="preserve">exhibits a sophisticated grasp of both common law principles and Victorian statutory frameworks. The written judgments reviewed for this</w:t>
      </w:r>
      <w:r>
        <w:t xml:space="preserve"> </w:t>
      </w:r>
      <w:r>
        <w:rPr>
          <w:bCs/>
          <w:b/>
        </w:rPr>
        <w:t xml:space="preserve">Peer Review Report</w:t>
      </w:r>
      <w:r>
        <w:t xml:space="preserve"> </w:t>
      </w:r>
      <w:r>
        <w:t xml:space="preserve">demonstrate clear, logical reasoning. The</w:t>
      </w:r>
      <w:r>
        <w:t xml:space="preserve"> </w:t>
      </w:r>
      <w:r>
        <w:rPr>
          <w:bCs/>
          <w:b/>
        </w:rPr>
        <w:t xml:space="preserve">Judge</w:t>
      </w:r>
      <w:r>
        <w:t xml:space="preserve"> </w:t>
      </w:r>
      <w:r>
        <w:t xml:space="preserve">consistently cites relevant precedents from the Supreme Court of Victoria and the High Court of Australia. There were no instances of misapplication of law identified during the file review. The ability to distill complex legal arguments into coherent rulings is a significant strength.</w:t>
      </w:r>
    </w:p>
    <w:bookmarkEnd w:id="23"/>
    <w:bookmarkStart w:id="24" w:name="decision-making-consistency"/>
    <w:p>
      <w:pPr>
        <w:pStyle w:val="Heading3"/>
      </w:pPr>
      <w:r>
        <w:t xml:space="preserve">3.2 Decision-Making Consistency</w:t>
      </w:r>
    </w:p>
    <w:p>
      <w:pPr>
        <w:pStyle w:val="FirstParagraph"/>
      </w:pPr>
      <w:r>
        <w:t xml:space="preserve">Consistency is vital for the rule of law. The review found that the</w:t>
      </w:r>
      <w:r>
        <w:t xml:space="preserve"> </w:t>
      </w:r>
      <w:r>
        <w:rPr>
          <w:bCs/>
          <w:b/>
        </w:rPr>
        <w:t xml:space="preserve">Judge</w:t>
      </w:r>
      <w:r>
        <w:t xml:space="preserve">'s sentencing outcomes and civil determinations align with established guidelines used across Melbourne courts. This consistency fosters predictability and fairness, which are essential for maintaining public confidence in the judiciary of</w:t>
      </w:r>
      <w:r>
        <w:t xml:space="preserve"> </w:t>
      </w:r>
      <w:r>
        <w:rPr>
          <w:bCs/>
          <w:b/>
        </w:rPr>
        <w:t xml:space="preserve">Australia Melbourne</w:t>
      </w:r>
      <w:r>
        <w:t xml:space="preserve">.</w:t>
      </w:r>
    </w:p>
    <w:bookmarkEnd w:id="24"/>
    <w:bookmarkEnd w:id="25"/>
    <w:bookmarkStart w:id="28" w:name="X55a8eb6bf8083da2609e928eaf342e2ce431513"/>
    <w:p>
      <w:pPr>
        <w:pStyle w:val="Heading2"/>
      </w:pPr>
      <w:r>
        <w:t xml:space="preserve">4. Judicial Temperament and Courtroom Management</w:t>
      </w:r>
    </w:p>
    <w:p>
      <w:pPr>
        <w:pStyle w:val="FirstParagraph"/>
      </w:pPr>
      <w:r>
        <w:t xml:space="preserve">Judicial temperament refers to the personal qualities that enable a</w:t>
      </w:r>
      <w:r>
        <w:t xml:space="preserve"> </w:t>
      </w:r>
      <w:r>
        <w:rPr>
          <w:bCs/>
          <w:b/>
        </w:rPr>
        <w:t xml:space="preserve">Judge</w:t>
      </w:r>
      <w:r>
        <w:t xml:space="preserve"> </w:t>
      </w:r>
      <w:r>
        <w:t xml:space="preserve">to perform their duties effectively. This includes patience, courtesy, open-mindedness, and impartiality.</w:t>
      </w:r>
    </w:p>
    <w:bookmarkStart w:id="26" w:name="interaction-with-participants"/>
    <w:p>
      <w:pPr>
        <w:pStyle w:val="Heading3"/>
      </w:pPr>
      <w:r>
        <w:t xml:space="preserve">4.1 Interaction with Participants</w:t>
      </w:r>
    </w:p>
    <w:p>
      <w:pPr>
        <w:pStyle w:val="FirstParagraph"/>
      </w:pPr>
      <w:r>
        <w:t xml:space="preserve">Observations indicate that the</w:t>
      </w:r>
      <w:r>
        <w:t xml:space="preserve"> </w:t>
      </w:r>
      <w:r>
        <w:rPr>
          <w:bCs/>
          <w:b/>
        </w:rPr>
        <w:t xml:space="preserve">Judge</w:t>
      </w:r>
      <w:r>
        <w:t xml:space="preserve"> </w:t>
      </w:r>
      <w:r>
        <w:t xml:space="preserve">generally maintains a respectful and professional demeanor. However, feedback from legal practitioners suggests that on occasions of high stress or procedural non-compliance, the</w:t>
      </w:r>
      <w:r>
        <w:t xml:space="preserve"> </w:t>
      </w:r>
      <w:r>
        <w:rPr>
          <w:bCs/>
          <w:b/>
        </w:rPr>
        <w:t xml:space="preserve">Judge</w:t>
      </w:r>
      <w:r>
        <w:t xml:space="preserve"> </w:t>
      </w:r>
      <w:r>
        <w:t xml:space="preserve">may display impatience. While this is not uncommon in the busy Melbourne court system, the</w:t>
      </w:r>
      <w:r>
        <w:t xml:space="preserve"> </w:t>
      </w:r>
      <w:r>
        <w:rPr>
          <w:bCs/>
          <w:b/>
        </w:rPr>
        <w:t xml:space="preserve">Peer Review Report</w:t>
      </w:r>
      <w:r>
        <w:t xml:space="preserve"> </w:t>
      </w:r>
      <w:r>
        <w:t xml:space="preserve">recommends that the</w:t>
      </w:r>
      <w:r>
        <w:t xml:space="preserve"> </w:t>
      </w:r>
      <w:r>
        <w:rPr>
          <w:bCs/>
          <w:b/>
        </w:rPr>
        <w:t xml:space="preserve">Judge</w:t>
      </w:r>
      <w:r>
        <w:t xml:space="preserve"> </w:t>
      </w:r>
      <w:r>
        <w:t xml:space="preserve">exercise additional restraint to ensure that self-represented litigants feel supported rather than intimidated.</w:t>
      </w:r>
    </w:p>
    <w:bookmarkEnd w:id="26"/>
    <w:bookmarkStart w:id="27" w:name="impartiality"/>
    <w:p>
      <w:pPr>
        <w:pStyle w:val="Heading3"/>
      </w:pPr>
      <w:r>
        <w:t xml:space="preserve">4.2 Impartiality</w:t>
      </w:r>
    </w:p>
    <w:p>
      <w:pPr>
        <w:pStyle w:val="FirstParagraph"/>
      </w:pPr>
      <w:r>
        <w:t xml:space="preserve">There is no evidence of bias or partiality. The</w:t>
      </w:r>
      <w:r>
        <w:t xml:space="preserve"> </w:t>
      </w:r>
      <w:r>
        <w:rPr>
          <w:bCs/>
          <w:b/>
        </w:rPr>
        <w:t xml:space="preserve">Judge</w:t>
      </w:r>
      <w:r>
        <w:t xml:space="preserve"> </w:t>
      </w:r>
      <w:r>
        <w:t xml:space="preserve">has successfully recused themselves from matters where potential conflicts of interest arose, adhering strictly to the ethical standards required in</w:t>
      </w:r>
      <w:r>
        <w:t xml:space="preserve"> </w:t>
      </w:r>
      <w:r>
        <w:rPr>
          <w:bCs/>
          <w:b/>
        </w:rPr>
        <w:t xml:space="preserve">Australia Melbourne</w:t>
      </w:r>
      <w:r>
        <w:t xml:space="preserve">.</w:t>
      </w:r>
    </w:p>
    <w:bookmarkEnd w:id="27"/>
    <w:bookmarkEnd w:id="28"/>
    <w:bookmarkStart w:id="29" w:name="case-management-and-efficiency"/>
    <w:p>
      <w:pPr>
        <w:pStyle w:val="Heading2"/>
      </w:pPr>
      <w:r>
        <w:t xml:space="preserve">5. Case Management and Efficiency</w:t>
      </w:r>
    </w:p>
    <w:p>
      <w:pPr>
        <w:pStyle w:val="FirstParagraph"/>
      </w:pPr>
      <w:r>
        <w:t xml:space="preserve">The Victorian court system faces significant backlogs. Therefore, effective case management is a critical metric in this</w:t>
      </w:r>
      <w:r>
        <w:t xml:space="preserve"> </w:t>
      </w:r>
      <w:r>
        <w:rPr>
          <w:bCs/>
          <w:b/>
        </w:rPr>
        <w:t xml:space="preserve">Peer Review Report</w:t>
      </w:r>
      <w:r>
        <w:t xml:space="preserve">.</w:t>
      </w:r>
    </w:p>
    <w:p>
      <w:pPr>
        <w:pStyle w:val="BodyText"/>
      </w:pPr>
      <w:r>
        <w:t xml:space="preserve">The</w:t>
      </w:r>
      <w:r>
        <w:t xml:space="preserve"> </w:t>
      </w:r>
      <w:r>
        <w:rPr>
          <w:bCs/>
          <w:b/>
        </w:rPr>
        <w:t xml:space="preserve">Judge</w:t>
      </w:r>
      <w:r>
        <w:t xml:space="preserve"> </w:t>
      </w:r>
      <w:r>
        <w:t xml:space="preserve">is diligent in moving matters forward but has been noted to allow excessive time for oral submissions in interlocutory matters. This has occasionally resulted in delays for subsequent cases on the docket. To improve efficiency within the Melbourne jurisdiction, the</w:t>
      </w:r>
      <w:r>
        <w:t xml:space="preserve"> </w:t>
      </w:r>
      <w:r>
        <w:rPr>
          <w:bCs/>
          <w:b/>
        </w:rPr>
        <w:t xml:space="preserve">Judge</w:t>
      </w:r>
      <w:r>
        <w:t xml:space="preserve"> </w:t>
      </w:r>
      <w:r>
        <w:t xml:space="preserve">is encouraged to enforce stricter time limits on submissions and utilize pre-trial conferences more aggressively to narrow issues before trial.</w:t>
      </w:r>
    </w:p>
    <w:bookmarkEnd w:id="29"/>
    <w:bookmarkStart w:id="30" w:name="ethical-conduct-and-integrity"/>
    <w:p>
      <w:pPr>
        <w:pStyle w:val="Heading2"/>
      </w:pPr>
      <w:r>
        <w:t xml:space="preserve">6. Ethical Conduct and Integrity</w:t>
      </w:r>
    </w:p>
    <w:p>
      <w:pPr>
        <w:pStyle w:val="FirstParagraph"/>
      </w:pPr>
      <w:r>
        <w:t xml:space="preserve">Integrity is the cornerstone of the judiciary. This</w:t>
      </w:r>
      <w:r>
        <w:t xml:space="preserve"> </w:t>
      </w:r>
      <w:r>
        <w:rPr>
          <w:bCs/>
          <w:b/>
        </w:rPr>
        <w:t xml:space="preserve">Peer Review Report</w:t>
      </w:r>
      <w:r>
        <w:t xml:space="preserve"> </w:t>
      </w:r>
      <w:r>
        <w:t xml:space="preserve">confirms that the</w:t>
      </w:r>
      <w:r>
        <w:t xml:space="preserve"> </w:t>
      </w:r>
      <w:r>
        <w:rPr>
          <w:bCs/>
          <w:b/>
        </w:rPr>
        <w:t xml:space="preserve">Judge</w:t>
      </w:r>
      <w:r>
        <w:t xml:space="preserve"> </w:t>
      </w:r>
      <w:r>
        <w:t xml:space="preserve">has maintained the highest standards of ethical conduct. There are no allegations of misconduct, corruption, or improper external associations. The</w:t>
      </w:r>
      <w:r>
        <w:t xml:space="preserve"> </w:t>
      </w:r>
      <w:r>
        <w:rPr>
          <w:bCs/>
          <w:b/>
        </w:rPr>
        <w:t xml:space="preserve">Judge</w:t>
      </w:r>
      <w:r>
        <w:t xml:space="preserve"> </w:t>
      </w:r>
      <w:r>
        <w:t xml:space="preserve">actively participates in continuing professional development programs offered by the Judicial College of Victoria, demonstrating a commitment to staying current with legal developments in</w:t>
      </w:r>
      <w:r>
        <w:t xml:space="preserve"> </w:t>
      </w:r>
      <w:r>
        <w:rPr>
          <w:bCs/>
          <w:b/>
        </w:rPr>
        <w:t xml:space="preserve">Australia Melbourne</w:t>
      </w:r>
      <w:r>
        <w:t xml:space="preserve">.</w:t>
      </w:r>
    </w:p>
    <w:bookmarkEnd w:id="30"/>
    <w:bookmarkStart w:id="31" w:name="overall-performance-rating"/>
    <w:p>
      <w:pPr>
        <w:pStyle w:val="Heading2"/>
      </w:pPr>
      <w:r>
        <w:t xml:space="preserve">7. Overall Performance Rating</w:t>
      </w:r>
    </w:p>
    <w:p>
      <w:pPr>
        <w:pStyle w:val="FirstParagraph"/>
      </w:pPr>
      <w:r>
        <w:t xml:space="preserve">Legal Knowledge &amp; Judgment Quality</w:t>
      </w:r>
      <w:r>
        <w:t xml:space="preserve"> </w:t>
      </w:r>
      <w:r>
        <w:t xml:space="preserve">Excellent (5/5)</w:t>
      </w:r>
    </w:p>
    <w:p>
      <w:pPr>
        <w:pStyle w:val="BodyText"/>
      </w:pPr>
      <w:r>
        <w:t xml:space="preserve">Judicial Temperament</w:t>
      </w:r>
      <w:r>
        <w:t xml:space="preserve"> </w:t>
      </w:r>
      <w:r>
        <w:t xml:space="preserve">Good (4/5)</w:t>
      </w:r>
    </w:p>
    <w:p>
      <w:pPr>
        <w:pStyle w:val="BodyText"/>
      </w:pPr>
      <w:r>
        <w:t xml:space="preserve">Case Management Efficiency</w:t>
      </w:r>
      <w:r>
        <w:t xml:space="preserve"> </w:t>
      </w:r>
      <w:r>
        <w:t xml:space="preserve">Satisfactory (3/5)</w:t>
      </w:r>
    </w:p>
    <w:p>
      <w:pPr>
        <w:pStyle w:val="BodyText"/>
      </w:pPr>
      <w:r>
        <w:t xml:space="preserve">Ethical Conduct &amp; Integrity</w:t>
      </w:r>
      <w:r>
        <w:t xml:space="preserve"> </w:t>
      </w:r>
      <w:r>
        <w:t xml:space="preserve">Excellent (5/5)</w:t>
      </w:r>
    </w:p>
    <w:p>
      <w:pPr>
        <w:pStyle w:val="BodyText"/>
      </w:pPr>
      <w:r>
        <w:rPr>
          <w:bCs/>
          <w:b/>
        </w:rPr>
        <w:t xml:space="preserve">Overall Assessment</w:t>
      </w:r>
      <w:r>
        <w:t xml:space="preserve"> </w:t>
      </w:r>
      <w:r>
        <w:rPr>
          <w:bCs/>
          <w:b/>
        </w:rPr>
        <w:t xml:space="preserve">Highly Competent</w:t>
      </w:r>
    </w:p>
    <w:bookmarkEnd w:id="31"/>
    <w:bookmarkStart w:id="32" w:name="recommendations"/>
    <w:p>
      <w:pPr>
        <w:pStyle w:val="Heading2"/>
      </w:pPr>
      <w:r>
        <w:t xml:space="preserve">8. Recommendations</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Judge</w:t>
      </w:r>
      <w:r>
        <w:t xml:space="preserve">:</w:t>
      </w:r>
    </w:p>
    <w:p>
      <w:pPr>
        <w:numPr>
          <w:ilvl w:val="0"/>
          <w:numId w:val="1002"/>
        </w:numPr>
        <w:pStyle w:val="Compact"/>
      </w:pPr>
      <w:r>
        <w:rPr>
          <w:bCs/>
          <w:b/>
        </w:rPr>
        <w:t xml:space="preserve">Enhance Case Management:</w:t>
      </w:r>
      <w:r>
        <w:t xml:space="preserve"> </w:t>
      </w:r>
      <w:r>
        <w:t xml:space="preserve">Implement stricter time controls during hearings to reduce docket delays in the Melbourne courts.</w:t>
      </w:r>
    </w:p>
    <w:p>
      <w:pPr>
        <w:numPr>
          <w:ilvl w:val="0"/>
          <w:numId w:val="1002"/>
        </w:numPr>
        <w:pStyle w:val="Compact"/>
      </w:pPr>
      <w:r>
        <w:rPr>
          <w:bCs/>
          <w:b/>
        </w:rPr>
        <w:t xml:space="preserve">Temperament Training:</w:t>
      </w:r>
      <w:r>
        <w:t xml:space="preserve"> </w:t>
      </w:r>
      <w:r>
        <w:t xml:space="preserve">Engage in workshops focused on managing interactions with self-represented litigants to ensure accessibility and fairness.</w:t>
      </w:r>
    </w:p>
    <w:p>
      <w:pPr>
        <w:numPr>
          <w:ilvl w:val="0"/>
          <w:numId w:val="1002"/>
        </w:numPr>
        <w:pStyle w:val="Compact"/>
      </w:pPr>
      <w:r>
        <w:rPr>
          <w:bCs/>
          <w:b/>
        </w:rPr>
        <w:t xml:space="preserve">Mentorship:</w:t>
      </w:r>
      <w:r>
        <w:t xml:space="preserve"> </w:t>
      </w:r>
      <w:r>
        <w:t xml:space="preserve">Continue to serve as a mentor to junior judicial officers, sharing expertise in complex areas of Victorian law.</w:t>
      </w:r>
    </w:p>
    <w:bookmarkEnd w:id="32"/>
    <w:bookmarkStart w:id="33" w:name="conclusion"/>
    <w:p>
      <w:pPr>
        <w:pStyle w:val="Heading2"/>
      </w:pPr>
      <w:r>
        <w:t xml:space="preserve">9. Conclusion</w:t>
      </w:r>
    </w:p>
    <w:p>
      <w:pPr>
        <w:pStyle w:val="FirstParagraph"/>
      </w:pPr>
      <w:r>
        <w:t xml:space="preserve">This</w:t>
      </w:r>
      <w:r>
        <w:t xml:space="preserve"> </w:t>
      </w:r>
      <w:r>
        <w:rPr>
          <w:bCs/>
          <w:b/>
        </w:rPr>
        <w:t xml:space="preserve">Peer Review Report</w:t>
      </w:r>
      <w:r>
        <w:t xml:space="preserve"> </w:t>
      </w:r>
      <w:r>
        <w:t xml:space="preserve">concludes that the subject</w:t>
      </w:r>
      <w:r>
        <w:t xml:space="preserve"> </w:t>
      </w:r>
      <w:r>
        <w:rPr>
          <w:bCs/>
          <w:b/>
        </w:rPr>
        <w:t xml:space="preserve">Judge</w:t>
      </w:r>
      <w:r>
        <w:t xml:space="preserve"> </w:t>
      </w:r>
      <w:r>
        <w:t xml:space="preserve">is a highly capable and ethical judicial officer serving the community of</w:t>
      </w:r>
      <w:r>
        <w:t xml:space="preserve"> </w:t>
      </w:r>
      <w:r>
        <w:rPr>
          <w:bCs/>
          <w:b/>
        </w:rPr>
        <w:t xml:space="preserve">Australia Melbourne</w:t>
      </w:r>
      <w:r>
        <w:t xml:space="preserve">. While there are minor areas for improvement regarding efficiency and courtroom demeanor, the overall performance is exemplary. The</w:t>
      </w:r>
      <w:r>
        <w:t xml:space="preserve"> </w:t>
      </w:r>
      <w:r>
        <w:rPr>
          <w:bCs/>
          <w:b/>
        </w:rPr>
        <w:t xml:space="preserve">Judge</w:t>
      </w:r>
      <w:r>
        <w:t xml:space="preserve"> </w:t>
      </w:r>
      <w:r>
        <w:t xml:space="preserve">upholds the dignity of the court and contributes positively to the administration of justice in Victoria.</w:t>
      </w:r>
    </w:p>
    <w:p>
      <w:pPr>
        <w:pStyle w:val="BodyText"/>
      </w:pPr>
      <w:r>
        <w:rPr>
          <w:bCs/>
          <w:b/>
        </w:rPr>
        <w:t xml:space="preserve">Prepared By:</w:t>
      </w:r>
    </w:p>
    <w:p>
      <w:pPr>
        <w:pStyle w:val="BodyText"/>
      </w:pPr>
      <w:r>
        <w:t xml:space="preserve">Chairperson, Peer Review Panel</w:t>
      </w:r>
    </w:p>
    <w:p>
      <w:pPr>
        <w:pStyle w:val="BodyText"/>
      </w:pPr>
      <w:r>
        <w:rPr>
          <w:bCs/>
          <w:b/>
        </w:rPr>
        <w:t xml:space="preserve">Approved By:</w:t>
      </w:r>
    </w:p>
    <w:p>
      <w:pPr>
        <w:pStyle w:val="BodyText"/>
      </w:pPr>
      <w:r>
        <w:t xml:space="preserve">Chief Justice of Victoria</w:t>
      </w:r>
    </w:p>
    <w:p>
      <w:pPr>
        <w:pStyle w:val="BodyText"/>
      </w:pPr>
      <w:r>
        <w:t xml:space="preserve">© 2023 Judicial Peer Review Committee, State of Victoria. Confidential Document. Not for public distribution.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Assessment</dc:title>
  <dc:creator/>
  <dc:language>en</dc:language>
  <cp:keywords/>
  <dcterms:created xsi:type="dcterms:W3CDTF">2026-10-10T05:53:52Z</dcterms:created>
  <dcterms:modified xsi:type="dcterms:W3CDTF">2026-10-10T05:53:52Z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