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Judicial Performance Assessment Framework</w:t>
      </w:r>
    </w:p>
    <w:bookmarkEnd w:id="20"/>
    <w:p>
      <w:pPr>
        <w:pStyle w:val="BodyText"/>
      </w:pPr>
      <w:r>
        <w:rPr>
          <w:bCs/>
          <w:b/>
        </w:rPr>
        <w:t xml:space="preserve">CONFIDENTIALITY NOTICE:</w:t>
      </w:r>
      <w:r>
        <w:t xml:space="preserve"> </w:t>
      </w:r>
      <w:r>
        <w:t xml:space="preserve">This document contains sensitive information regarding the professional conduct and performance of a judicial officer within the jurisdiction of New South Wales. It is intended solely for the use of the Judicial Commission of New South Wales and relevant oversight bodies. Unauthorized distribution is prohibited.</w:t>
      </w:r>
    </w:p>
    <w:p>
      <w:pPr>
        <w:pStyle w:val="BodyText"/>
      </w:pPr>
      <w:r>
        <w:rPr>
          <w:bCs/>
          <w:b/>
        </w:rPr>
        <w:t xml:space="preserve">Date of Report:</w:t>
      </w:r>
      <w:r>
        <w:t xml:space="preserve"> </w:t>
      </w:r>
      <w:r>
        <w:t xml:space="preserve">October 24, 2023</w:t>
      </w:r>
    </w:p>
    <w:p>
      <w:pPr>
        <w:pStyle w:val="BodyText"/>
      </w:pPr>
      <w:r>
        <w:rPr>
          <w:bCs/>
          <w:b/>
        </w:rPr>
        <w:t xml:space="preserve">Jurisdiction:</w:t>
      </w:r>
      <w:r>
        <w:t xml:space="preserve"> </w:t>
      </w:r>
      <w:r>
        <w:t xml:space="preserve">Australia Sydney (New South Wales)</w:t>
      </w:r>
    </w:p>
    <w:p>
      <w:pPr>
        <w:pStyle w:val="BodyText"/>
      </w:pPr>
      <w:r>
        <w:rPr>
          <w:bCs/>
          <w:b/>
        </w:rPr>
        <w:t xml:space="preserve">Subject Role:</w:t>
      </w:r>
      <w:r>
        <w:t xml:space="preserve"> </w:t>
      </w:r>
      <w:r>
        <w:t xml:space="preserve">Judge (District Court)</w:t>
      </w:r>
    </w:p>
    <w:p>
      <w:pPr>
        <w:pStyle w:val="BodyText"/>
      </w:pPr>
      <w:r>
        <w:rPr>
          <w:bCs/>
          <w:b/>
        </w:rPr>
        <w:t xml:space="preserve">Review Period:</w:t>
      </w:r>
      <w:r>
        <w:t xml:space="preserve"> </w:t>
      </w:r>
      <w:r>
        <w:t xml:space="preserve">January 2022 – December 2022</w:t>
      </w:r>
    </w:p>
    <w:p>
      <w:pPr>
        <w:pStyle w:val="BodyText"/>
      </w:pPr>
      <w:r>
        <w:rPr>
          <w:bCs/>
          <w:b/>
        </w:rPr>
        <w:t xml:space="preserve">Reviewer ID:</w:t>
      </w:r>
      <w:r>
        <w:t xml:space="preserve"> </w:t>
      </w:r>
      <w:r>
        <w:t xml:space="preserve">PR-NSW-8842</w:t>
      </w:r>
    </w:p>
    <w:p>
      <w:pPr>
        <w:pStyle w:val="BodyText"/>
      </w:pPr>
      <w:r>
        <w:rPr>
          <w:bCs/>
          <w:b/>
        </w:rPr>
        <w:t xml:space="preserve">Case Volume:</w:t>
      </w:r>
      <w:r>
        <w:t xml:space="preserve"> </w:t>
      </w:r>
      <w:r>
        <w:t xml:space="preserve">145 Matters</w:t>
      </w:r>
    </w:p>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judicial temperament, and administrative efficiency of the subject Judge operating within the legal framework of Australia Sydney. The review was conducted in accordance with the standards set by the Judicial Commission of New South Wales. The assessment focuses on the Judge's ability to interpret and apply the law, manage court proceedings, and uphold the integrity of the judiciary. Overall, the Judge demonstrates a high level of competence, though specific areas regarding case management efficiency have been identified for improvement.</w:t>
      </w:r>
    </w:p>
    <w:bookmarkEnd w:id="21"/>
    <w:bookmarkStart w:id="22" w:name="legal-knowledge-and-application"/>
    <w:p>
      <w:pPr>
        <w:pStyle w:val="Heading2"/>
      </w:pPr>
      <w:r>
        <w:t xml:space="preserve">2. Legal Knowledge and Application</w:t>
      </w:r>
    </w:p>
    <w:p>
      <w:pPr>
        <w:pStyle w:val="FirstParagraph"/>
      </w:pPr>
      <w:r>
        <w:t xml:space="preserve">The primary function of a Judge is to apply the law accurately and fairly. Throughout the review period, the subject Judge displayed a robust understanding of both statutory law and common law precedents relevant to the New South Wales jurisdiction. In complex civil litigation matters observed in the Sydney courts, the Judge demonstrated the ability to distill intricate legal arguments into clear, reasoned judgments.</w:t>
      </w:r>
    </w:p>
    <w:p>
      <w:pPr>
        <w:pStyle w:val="BodyText"/>
      </w:pPr>
      <w:r>
        <w:t xml:space="preserve">The application of legal principles was consistent with recent High Court of Australia decisions. The Judge showed particular strength in areas of contract law and torts. However, during one observed criminal matter, there was a minor hesitation in applying recent amendments to the Crimes Act 1900 (NSW), suggesting a need for continued professional development regarding legislative updates. Despite this, the final ruling remained legally sound and defensible.</w:t>
      </w:r>
    </w:p>
    <w:bookmarkEnd w:id="22"/>
    <w:bookmarkStart w:id="23" w:name="judicial-temperament-and-conduct"/>
    <w:p>
      <w:pPr>
        <w:pStyle w:val="Heading2"/>
      </w:pPr>
      <w:r>
        <w:t xml:space="preserve">3. Judicial Temperament and Conduct</w:t>
      </w:r>
    </w:p>
    <w:p>
      <w:pPr>
        <w:pStyle w:val="FirstParagraph"/>
      </w:pPr>
      <w:r>
        <w:t xml:space="preserve">Judicial temperament is critical to maintaining public confidence in the justice system of Australia Sydney. The subject Judge generally exhibited the requisite impartiality, patience, and courtesy expected of the bench. The courtroom demeanor was professional, and the Judge maintained control over proceedings without resorting to authoritarian measures.</w:t>
      </w:r>
    </w:p>
    <w:p>
      <w:pPr>
        <w:pStyle w:val="BodyText"/>
      </w:pPr>
      <w:r>
        <w:t xml:space="preserve">Interactions with counsel were respectful. The Judge allowed advocates sufficient time to present their cases, ensuring that the rights of the parties were protected. However, the review noted instances where the Judge appeared impatient with self-represented litigants. In the context of the diverse population of Sydney, the judiciary must ensure that laypersons are afforded the necessary guidance to navigate complex procedures. While the Judge did not act unfairly, a more empathetic approach would enhance the perception of access to justice.</w:t>
      </w:r>
    </w:p>
    <w:bookmarkEnd w:id="23"/>
    <w:bookmarkStart w:id="24" w:name="case-management-and-efficiency"/>
    <w:p>
      <w:pPr>
        <w:pStyle w:val="Heading2"/>
      </w:pPr>
      <w:r>
        <w:t xml:space="preserve">4. Case Management and Efficiency</w:t>
      </w:r>
    </w:p>
    <w:p>
      <w:pPr>
        <w:pStyle w:val="FirstParagraph"/>
      </w:pPr>
      <w:r>
        <w:t xml:space="preserve">Efficiency is a paramount concern for the courts in New South Wales due to high caseloads. This section of the Peer Review Report evaluates the Judge's ability to manage time and resources effectively. The Judge successfully disposed of a significant volume of matters within the review period, contributing positively to the reduction of the court backlog.</w:t>
      </w:r>
    </w:p>
    <w:p>
      <w:pPr>
        <w:pStyle w:val="BodyText"/>
      </w:pPr>
      <w:r>
        <w:t xml:space="preserve">However, the review identified a tendency to allow hearings to run over scheduled times. In three separate instances, court lists were delayed by more than forty-five minutes due to the Judge's extensive questioning of witnesses during preliminary stages. While thoroughness is a virtue, it must be balanced against the need for procedural efficiency. The Judge is advised to adopt stricter time management strategies to ensure that the court list in Sydney proceeds according to schedule, respecting the time of other parties and legal practitioners.</w:t>
      </w:r>
    </w:p>
    <w:bookmarkEnd w:id="24"/>
    <w:bookmarkStart w:id="25" w:name="quality-of-judgments"/>
    <w:p>
      <w:pPr>
        <w:pStyle w:val="Heading2"/>
      </w:pPr>
      <w:r>
        <w:t xml:space="preserve">5. Quality of Judgments</w:t>
      </w:r>
    </w:p>
    <w:p>
      <w:pPr>
        <w:pStyle w:val="FirstParagraph"/>
      </w:pPr>
      <w:r>
        <w:t xml:space="preserve">The written judgments delivered by the Judge were analyzed for clarity, structure, and reasoning. The majority of judgments were well-written, logically structured, and easy to follow. The Judge effectively identified the key issues in dispute and provided a clear rationale for the decisions made.</w:t>
      </w:r>
    </w:p>
    <w:p>
      <w:pPr>
        <w:pStyle w:val="BodyText"/>
      </w:pPr>
      <w:r>
        <w:t xml:space="preserve">The language used was appropriate for the legal context, avoiding unnecessary jargon where possible. This is particularly important in Australia Sydney, where judgments may be read by a wide audience, including media and the general public. The reasoning demonstrated a deep engagement with the evidence presented. One recommendation is to ensure that citations are consistently formatted according to the Australian Guide to Legal Citation to maintain professional standards.</w:t>
      </w:r>
    </w:p>
    <w:bookmarkEnd w:id="25"/>
    <w:bookmarkStart w:id="26" w:name="cultural-competence-and-diversity"/>
    <w:p>
      <w:pPr>
        <w:pStyle w:val="Heading2"/>
      </w:pPr>
      <w:r>
        <w:t xml:space="preserve">6. Cultural Competence and Diversity</w:t>
      </w:r>
    </w:p>
    <w:p>
      <w:pPr>
        <w:pStyle w:val="FirstParagraph"/>
      </w:pPr>
      <w:r>
        <w:t xml:space="preserve">Given the multicultural nature of Australia Sydney, cultural competence is an essential attribute for a modern Judge. The subject Judge demonstrated an awareness of cultural diversity within the courtroom. There were no instances of bias or discrimination observed during the review period. The Judge made appropriate accommodations for interpreters and ensured that cultural nuances were considered where relevant to the facts of the case.</w:t>
      </w:r>
    </w:p>
    <w:p>
      <w:pPr>
        <w:pStyle w:val="BodyText"/>
      </w:pPr>
      <w:r>
        <w:t xml:space="preserve">The Judge actively participated in judicial education programs focused on diversity and inclusion, which is commendable. Continued engagement with these programs will further strengthen the Judge's ability to serve the diverse communities of New South Wales effectively.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subject Judge:</w:t>
      </w:r>
    </w:p>
    <w:p>
      <w:pPr>
        <w:numPr>
          <w:ilvl w:val="0"/>
          <w:numId w:val="1001"/>
        </w:numPr>
        <w:pStyle w:val="Compact"/>
      </w:pPr>
      <w:r>
        <w:rPr>
          <w:bCs/>
          <w:b/>
        </w:rPr>
        <w:t xml:space="preserve">Time Management:</w:t>
      </w:r>
      <w:r>
        <w:t xml:space="preserve"> </w:t>
      </w:r>
      <w:r>
        <w:t xml:space="preserve">Implement stricter protocols for managing hearing durations to prevent delays in the court list.</w:t>
      </w:r>
    </w:p>
    <w:p>
      <w:pPr>
        <w:numPr>
          <w:ilvl w:val="0"/>
          <w:numId w:val="1001"/>
        </w:numPr>
        <w:pStyle w:val="Compact"/>
      </w:pPr>
      <w:r>
        <w:rPr>
          <w:bCs/>
          <w:b/>
        </w:rPr>
        <w:t xml:space="preserve">Self-Represented Litigants:</w:t>
      </w:r>
      <w:r>
        <w:t xml:space="preserve"> </w:t>
      </w:r>
      <w:r>
        <w:t xml:space="preserve">Attend specialized training on managing cases involving unrepresented parties to improve patience and communication strategies.</w:t>
      </w:r>
    </w:p>
    <w:p>
      <w:pPr>
        <w:numPr>
          <w:ilvl w:val="0"/>
          <w:numId w:val="1001"/>
        </w:numPr>
        <w:pStyle w:val="Compact"/>
      </w:pPr>
      <w:r>
        <w:rPr>
          <w:bCs/>
          <w:b/>
        </w:rPr>
        <w:t xml:space="preserve">Legislative Updates:</w:t>
      </w:r>
      <w:r>
        <w:t xml:space="preserve"> </w:t>
      </w:r>
      <w:r>
        <w:t xml:space="preserve">Engage in regular briefings on recent amendments to NSW legislation to ensure immediate familiarity with new laws.</w:t>
      </w:r>
    </w:p>
    <w:p>
      <w:pPr>
        <w:numPr>
          <w:ilvl w:val="0"/>
          <w:numId w:val="1001"/>
        </w:numPr>
        <w:pStyle w:val="Compact"/>
      </w:pPr>
      <w:r>
        <w:rPr>
          <w:bCs/>
          <w:b/>
        </w:rPr>
        <w:t xml:space="preserve">Citation Standards:</w:t>
      </w:r>
      <w:r>
        <w:t xml:space="preserve"> </w:t>
      </w:r>
      <w:r>
        <w:t xml:space="preserve">Review judgment drafting practices to ensure strict adherence to citation guidelines.</w:t>
      </w:r>
    </w:p>
    <w:bookmarkEnd w:id="27"/>
    <w:bookmarkStart w:id="28" w:name="conclusion"/>
    <w:p>
      <w:pPr>
        <w:pStyle w:val="Heading2"/>
      </w:pPr>
      <w:r>
        <w:t xml:space="preserve">8. Conclusion</w:t>
      </w:r>
    </w:p>
    <w:p>
      <w:pPr>
        <w:pStyle w:val="FirstParagraph"/>
      </w:pPr>
      <w:r>
        <w:t xml:space="preserve">In conclusion, this Peer Review Report confirms that the subject Judge performs their duties with integrity, legal acumen, and professionalism. The Judge is a valuable asset to the judiciary in Australia Sydney. By addressing the minor areas of improvement identified regarding efficiency and interaction with self-represented litigants, the Judge can further enhance their performance and contribute even more effectively to the administration of justice in New South Wales.</w:t>
      </w:r>
    </w:p>
    <w:p>
      <w:pPr>
        <w:pStyle w:val="BodyText"/>
      </w:pPr>
      <w:r>
        <w:rPr>
          <w:bCs/>
          <w:b/>
        </w:rPr>
        <w:t xml:space="preserve">Prepared by:</w:t>
      </w:r>
    </w:p>
    <w:p>
      <w:pPr>
        <w:pStyle w:val="BodyText"/>
      </w:pPr>
      <w:r>
        <w:t xml:space="preserve">Senior Judicial Reviewer</w:t>
      </w:r>
    </w:p>
    <w:p>
      <w:pPr>
        <w:pStyle w:val="BodyText"/>
      </w:pPr>
      <w:r>
        <w:t xml:space="preserve">Judicial Commission of New South Wales</w:t>
      </w:r>
    </w:p>
    <w:p>
      <w:pPr>
        <w:pStyle w:val="BodyText"/>
      </w:pPr>
      <w:r>
        <w:br/>
      </w:r>
    </w:p>
    <w:p>
      <w:pPr>
        <w:pStyle w:val="BodyText"/>
      </w:pPr>
      <w:r>
        <w:rPr>
          <w:bCs/>
          <w:b/>
        </w:rPr>
        <w:t xml:space="preserve">Approved by:</w:t>
      </w:r>
    </w:p>
    <w:p>
      <w:pPr>
        <w:pStyle w:val="BodyText"/>
      </w:pPr>
      <w:r>
        <w:t xml:space="preserve">Chief Justice's Office</w:t>
      </w:r>
    </w:p>
    <w:p>
      <w:pPr>
        <w:pStyle w:val="BodyText"/>
      </w:pPr>
      <w:r>
        <w:t xml:space="preserve">Sydney, Australia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