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Document Type:</w:t>
      </w:r>
      <w:r>
        <w:t xml:space="preserve"> </w:t>
      </w:r>
      <w:r>
        <w:t xml:space="preserve">Judicial Performance Evaluation</w:t>
      </w:r>
    </w:p>
    <w:p>
      <w:pPr>
        <w:pStyle w:val="BodyText"/>
      </w:pPr>
      <w:r>
        <w:t xml:space="preserve">Jurisdiction:</w:t>
      </w:r>
      <w:r>
        <w:t xml:space="preserve"> </w:t>
      </w:r>
      <w:r>
        <w:t xml:space="preserve">Brussels-Capital Region, Belgium</w:t>
      </w:r>
    </w:p>
    <w:p>
      <w:pPr>
        <w:pStyle w:val="BodyText"/>
      </w:pPr>
      <w:r>
        <w:t xml:space="preserve">Date:</w:t>
      </w:r>
      <w:r>
        <w:t xml:space="preserve"> </w:t>
      </w:r>
      <w:r>
        <w:t xml:space="preserve">October 24, 2023</w:t>
      </w:r>
    </w:p>
    <w:p>
      <w:pPr>
        <w:pStyle w:val="BodyText"/>
      </w:pPr>
      <w:r>
        <w:t xml:space="preserve">Reference ID:</w:t>
      </w:r>
      <w:r>
        <w:t xml:space="preserve"> </w:t>
      </w:r>
      <w:r>
        <w:t xml:space="preserve">BRU-JUD-PR-2023-089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constitutes a formal assessment of the professional conduct, judicial reasoning, and administrative efficiency of a sitting</w:t>
      </w:r>
      <w:r>
        <w:t xml:space="preserve"> </w:t>
      </w:r>
      <w:r>
        <w:rPr>
          <w:bCs/>
          <w:b/>
        </w:rPr>
        <w:t xml:space="preserve">Judge</w:t>
      </w:r>
      <w:r>
        <w:t xml:space="preserve"> </w:t>
      </w:r>
      <w:r>
        <w:t xml:space="preserve">within the judicial system of</w:t>
      </w:r>
      <w:r>
        <w:t xml:space="preserve"> </w:t>
      </w:r>
      <w:r>
        <w:rPr>
          <w:bCs/>
          <w:b/>
        </w:rPr>
        <w:t xml:space="preserve">Belgium Brussels</w:t>
      </w:r>
      <w:r>
        <w:t xml:space="preserve">. The review was conducted in accordance with the ethical standards set forth by the Belgian Council for the Judiciary and the specific procedural norms applicable to the Brussels-Capital Region courts.</w:t>
      </w:r>
    </w:p>
    <w:p>
      <w:pPr>
        <w:pStyle w:val="BodyText"/>
      </w:pPr>
      <w:r>
        <w:t xml:space="preserve">The primary objective of this evaluation is to ensure the maintenance of high judicial standards, impartiality, and the effective administration of justice. The review focuses on the Judge's handling of complex civil and criminal cases, their adherence to Belgian statutory law, and their integration within the multicultural legal environment of Brussels. The findings presented herein are based on a comprehensive analysis of case files, courtroom observations, and feedback from legal peers.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the period from January 1, 2023, to September 30, 2023. The methodology employed involves a multi-faceted approach tailored to the specific demands of the</w:t>
      </w:r>
      <w:r>
        <w:t xml:space="preserve"> </w:t>
      </w:r>
      <w:r>
        <w:rPr>
          <w:bCs/>
          <w:b/>
        </w:rPr>
        <w:t xml:space="preserve">Belgium Brussels</w:t>
      </w:r>
      <w:r>
        <w:t xml:space="preserve"> </w:t>
      </w:r>
      <w:r>
        <w:t xml:space="preserve">jurisdiction.</w:t>
      </w:r>
    </w:p>
    <w:p>
      <w:pPr>
        <w:numPr>
          <w:ilvl w:val="0"/>
          <w:numId w:val="1001"/>
        </w:numPr>
        <w:pStyle w:val="Compact"/>
      </w:pPr>
      <w:r>
        <w:rPr>
          <w:bCs/>
          <w:b/>
        </w:rPr>
        <w:t xml:space="preserve">Case File Analysis:</w:t>
      </w:r>
      <w:r>
        <w:t xml:space="preserve"> </w:t>
      </w:r>
      <w:r>
        <w:t xml:space="preserve">A random selection of 50 closed cases was reviewed to assess the quality of written judgments, legal citation accuracy, and adherence to procedural timelines.</w:t>
      </w:r>
    </w:p>
    <w:p>
      <w:pPr>
        <w:numPr>
          <w:ilvl w:val="0"/>
          <w:numId w:val="1001"/>
        </w:numPr>
        <w:pStyle w:val="Compact"/>
      </w:pPr>
      <w:r>
        <w:rPr>
          <w:bCs/>
          <w:b/>
        </w:rPr>
        <w:t xml:space="preserve">Observation:</w:t>
      </w:r>
      <w:r>
        <w:t xml:space="preserve"> </w:t>
      </w:r>
      <w:r>
        <w:t xml:space="preserve">Direct observation of oral proceedings to evaluate courtroom management, demeanor, and interaction with counsel and litigants.</w:t>
      </w:r>
    </w:p>
    <w:p>
      <w:pPr>
        <w:numPr>
          <w:ilvl w:val="0"/>
          <w:numId w:val="1001"/>
        </w:numPr>
        <w:pStyle w:val="Compact"/>
      </w:pPr>
      <w:r>
        <w:rPr>
          <w:bCs/>
          <w:b/>
        </w:rPr>
        <w:t xml:space="preserve">Peer Consultation:</w:t>
      </w:r>
      <w:r>
        <w:t xml:space="preserve"> </w:t>
      </w:r>
      <w:r>
        <w:t xml:space="preserve">Confidential interviews with fellow judges and court administrators to gauge collegiality and professional reputation.</w:t>
      </w:r>
    </w:p>
    <w:p>
      <w:pPr>
        <w:pStyle w:val="FirstParagraph"/>
      </w:pPr>
      <w:r>
        <w:t xml:space="preserve">Special attention was paid to the Judge's ability to navigate the linguistic complexities inherent to</w:t>
      </w:r>
      <w:r>
        <w:t xml:space="preserve"> </w:t>
      </w:r>
      <w:r>
        <w:rPr>
          <w:bCs/>
          <w:b/>
        </w:rPr>
        <w:t xml:space="preserve">Belgium Brussels</w:t>
      </w:r>
      <w:r>
        <w:t xml:space="preserve">, ensuring that proceedings are conducted fairly in both French and Dutch, in compliance with the language laws of the region.</w:t>
      </w:r>
    </w:p>
    <w:bookmarkEnd w:id="22"/>
    <w:bookmarkStart w:id="25" w:name="assessment-of-judicial-competence"/>
    <w:p>
      <w:pPr>
        <w:pStyle w:val="Heading2"/>
      </w:pPr>
      <w:r>
        <w:t xml:space="preserve">3. Assessment of Judicial Competence</w:t>
      </w:r>
    </w:p>
    <w:bookmarkStart w:id="23" w:name="legal-reasoning-and-application-of-law"/>
    <w:p>
      <w:pPr>
        <w:pStyle w:val="Heading3"/>
      </w:pPr>
      <w:r>
        <w:t xml:space="preserve">3.1 Legal Reasoning and Application of Law</w:t>
      </w:r>
    </w:p>
    <w:p>
      <w:pPr>
        <w:pStyle w:val="FirstParagraph"/>
      </w:pPr>
      <w:r>
        <w:t xml:space="preserve">The</w:t>
      </w:r>
      <w:r>
        <w:t xml:space="preserve"> </w:t>
      </w:r>
      <w:r>
        <w:rPr>
          <w:bCs/>
          <w:b/>
        </w:rPr>
        <w:t xml:space="preserve">Judge</w:t>
      </w:r>
      <w:r>
        <w:t xml:space="preserve"> </w:t>
      </w:r>
      <w:r>
        <w:t xml:space="preserve">demonstrates a profound understanding of Belgian civil and criminal codes. The written judgments analyzed for this</w:t>
      </w:r>
      <w:r>
        <w:t xml:space="preserve"> </w:t>
      </w:r>
      <w:r>
        <w:rPr>
          <w:bCs/>
          <w:b/>
        </w:rPr>
        <w:t xml:space="preserve">Peer Review Report</w:t>
      </w:r>
      <w:r>
        <w:t xml:space="preserve"> </w:t>
      </w:r>
      <w:r>
        <w:t xml:space="preserve">exhibit rigorous logical structure and precise application of legal principles. The Judge consistently references relevant jurisprudence from the Court of Cassation and the Court of Justice of the European Union, which is particularly pertinent given Brussels' status as a hub for EU law.</w:t>
      </w:r>
    </w:p>
    <w:p>
      <w:pPr>
        <w:pStyle w:val="BodyText"/>
      </w:pPr>
      <w:r>
        <w:t xml:space="preserve">In cases involving international elements—common in</w:t>
      </w:r>
      <w:r>
        <w:t xml:space="preserve"> </w:t>
      </w:r>
      <w:r>
        <w:rPr>
          <w:bCs/>
          <w:b/>
        </w:rPr>
        <w:t xml:space="preserve">Belgium Brussels</w:t>
      </w:r>
      <w:r>
        <w:t xml:space="preserve">—the Judge has shown exceptional competence in applying private international law rules. The reasoning provided is transparent, allowing parties to understand the basis of the decision, thereby enhancing the legitimacy of the judicial process.</w:t>
      </w:r>
    </w:p>
    <w:bookmarkEnd w:id="23"/>
    <w:bookmarkStart w:id="24" w:name="impartiality-and-independence"/>
    <w:p>
      <w:pPr>
        <w:pStyle w:val="Heading3"/>
      </w:pPr>
      <w:r>
        <w:t xml:space="preserve">3.2 Impartiality and Independence</w:t>
      </w:r>
    </w:p>
    <w:p>
      <w:pPr>
        <w:pStyle w:val="FirstParagraph"/>
      </w:pPr>
      <w:r>
        <w:t xml:space="preserve">A cornerstone of the judicial role is impartiality. Throughout the review period, the</w:t>
      </w:r>
      <w:r>
        <w:t xml:space="preserve"> </w:t>
      </w:r>
      <w:r>
        <w:rPr>
          <w:bCs/>
          <w:b/>
        </w:rPr>
        <w:t xml:space="preserve">Judge</w:t>
      </w:r>
      <w:r>
        <w:t xml:space="preserve"> </w:t>
      </w:r>
      <w:r>
        <w:t xml:space="preserve">maintained strict neutrality. There were no instances of bias or conflict of interest identified. The Judge effectively managed potential recusal requests with transparency, adhering to the ethical guidelines of the Belgian judiciary. This commitment to independence is vital for maintaining public trust in the courts of</w:t>
      </w:r>
      <w:r>
        <w:t xml:space="preserve"> </w:t>
      </w:r>
      <w:r>
        <w:rPr>
          <w:bCs/>
          <w:b/>
        </w:rPr>
        <w:t xml:space="preserve">Belgium Brussels</w:t>
      </w:r>
      <w:r>
        <w:t xml:space="preserve">.</w:t>
      </w:r>
    </w:p>
    <w:bookmarkEnd w:id="24"/>
    <w:bookmarkEnd w:id="25"/>
    <w:bookmarkStart w:id="26" w:name="courtroom-management-and-demeanor"/>
    <w:p>
      <w:pPr>
        <w:pStyle w:val="Heading2"/>
      </w:pPr>
      <w:r>
        <w:t xml:space="preserve">4. Courtroom Management and Demeanor</w:t>
      </w:r>
    </w:p>
    <w:p>
      <w:pPr>
        <w:pStyle w:val="FirstParagraph"/>
      </w:pPr>
      <w:r>
        <w:t xml:space="preserve">The</w:t>
      </w:r>
      <w:r>
        <w:t xml:space="preserve"> </w:t>
      </w:r>
      <w:r>
        <w:rPr>
          <w:bCs/>
          <w:b/>
        </w:rPr>
        <w:t xml:space="preserve">Judge</w:t>
      </w:r>
      <w:r>
        <w:t xml:space="preserve"> </w:t>
      </w:r>
      <w:r>
        <w:t xml:space="preserve">exhibits a professional and authoritative demeanor in the courtroom. Observations indicate a balanced approach to managing proceedings, ensuring that all parties have adequate opportunity to present their arguments while preventing unnecessary delays.</w:t>
      </w:r>
    </w:p>
    <w:p>
      <w:pPr>
        <w:pStyle w:val="BodyText"/>
      </w:pPr>
      <w:r>
        <w:t xml:space="preserve">In the diverse legal landscape of</w:t>
      </w:r>
      <w:r>
        <w:t xml:space="preserve"> </w:t>
      </w:r>
      <w:r>
        <w:rPr>
          <w:bCs/>
          <w:b/>
        </w:rPr>
        <w:t xml:space="preserve">Belgium Brussels</w:t>
      </w:r>
      <w:r>
        <w:t xml:space="preserve">, the Judge has demonstrated cultural sensitivity and linguistic proficiency. The ability to switch seamlessly between French and Dutch, or to ensure accurate interpretation when necessary, has been noted as a significant strength. This skill is crucial for ensuring equal access to justice for all litigants in the capital region.</w:t>
      </w:r>
    </w:p>
    <w:p>
      <w:pPr>
        <w:pStyle w:val="BodyText"/>
      </w:pPr>
      <w:r>
        <w:rPr>
          <w:bCs/>
          <w:b/>
        </w:rPr>
        <w:t xml:space="preserve">Performance Rating:</w:t>
      </w:r>
      <w:r>
        <w:t xml:space="preserve"> </w:t>
      </w:r>
      <w:r>
        <w:t xml:space="preserve">Excellent</w:t>
      </w:r>
      <w:r>
        <w:br/>
      </w:r>
      <w:r>
        <w:rPr>
          <w:iCs/>
          <w:i/>
        </w:rPr>
        <w:t xml:space="preserve">Justification:</w:t>
      </w:r>
      <w:r>
        <w:t xml:space="preserve"> </w:t>
      </w:r>
      <w:r>
        <w:t xml:space="preserve">Consistent adherence to procedural rules, effective time management, and respectful interaction with all court participants.</w:t>
      </w:r>
    </w:p>
    <w:bookmarkEnd w:id="26"/>
    <w:bookmarkStart w:id="27" w:name="X3bd0613ce16772a830bd1368887227fb7830aa7"/>
    <w:p>
      <w:pPr>
        <w:pStyle w:val="Heading2"/>
      </w:pPr>
      <w:r>
        <w:t xml:space="preserve">5. Administrative Efficiency and Case Management</w:t>
      </w:r>
    </w:p>
    <w:p>
      <w:pPr>
        <w:pStyle w:val="FirstParagraph"/>
      </w:pPr>
      <w:r>
        <w:t xml:space="preserve">The backlog of cases is a persistent challenge in the judicial system of</w:t>
      </w:r>
      <w:r>
        <w:t xml:space="preserve"> </w:t>
      </w:r>
      <w:r>
        <w:rPr>
          <w:bCs/>
          <w:b/>
        </w:rPr>
        <w:t xml:space="preserve">Belgium Brussels</w:t>
      </w:r>
      <w:r>
        <w:t xml:space="preserve">. This</w:t>
      </w:r>
      <w:r>
        <w:t xml:space="preserve"> </w:t>
      </w:r>
      <w:r>
        <w:rPr>
          <w:bCs/>
          <w:b/>
        </w:rPr>
        <w:t xml:space="preserve">Peer Review Report</w:t>
      </w:r>
      <w:r>
        <w:t xml:space="preserve"> </w:t>
      </w:r>
      <w:r>
        <w:t xml:space="preserve">highlights the</w:t>
      </w:r>
      <w:r>
        <w:t xml:space="preserve"> </w:t>
      </w:r>
      <w:r>
        <w:rPr>
          <w:bCs/>
          <w:b/>
        </w:rPr>
        <w:t xml:space="preserve">Judge</w:t>
      </w:r>
      <w:r>
        <w:t xml:space="preserve">'s proactive efforts to mitigate delays. The average time taken to render a decision in the sampled cases was below the regional average, indicating high efficiency.</w:t>
      </w:r>
    </w:p>
    <w:p>
      <w:pPr>
        <w:pStyle w:val="BodyText"/>
      </w:pPr>
      <w:r>
        <w:t xml:space="preserve">The Judge utilizes digital case management tools effectively, ensuring that all documentation is up-to-date and accessible. Furthermore, the Judge actively participates in court administration meetings, contributing valuable insights to improve workflow and resource allocation within the tribunal.</w:t>
      </w:r>
    </w:p>
    <w:bookmarkEnd w:id="27"/>
    <w:bookmarkStart w:id="28" w:name="areas-for-development"/>
    <w:p>
      <w:pPr>
        <w:pStyle w:val="Heading2"/>
      </w:pPr>
      <w:r>
        <w:t xml:space="preserve">6. Areas for Development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minor areas for potential enhancement:</w:t>
      </w:r>
    </w:p>
    <w:p>
      <w:pPr>
        <w:numPr>
          <w:ilvl w:val="0"/>
          <w:numId w:val="1002"/>
        </w:numPr>
        <w:pStyle w:val="Compact"/>
      </w:pPr>
      <w:r>
        <w:rPr>
          <w:bCs/>
          <w:b/>
        </w:rPr>
        <w:t xml:space="preserve">Alternative Dispute Resolution (ADR):</w:t>
      </w:r>
      <w:r>
        <w:t xml:space="preserve"> </w:t>
      </w:r>
      <w:r>
        <w:t xml:space="preserve">It is recommended that the</w:t>
      </w:r>
      <w:r>
        <w:t xml:space="preserve"> </w:t>
      </w:r>
      <w:r>
        <w:rPr>
          <w:bCs/>
          <w:b/>
        </w:rPr>
        <w:t xml:space="preserve">Judge</w:t>
      </w:r>
      <w:r>
        <w:t xml:space="preserve"> </w:t>
      </w:r>
      <w:r>
        <w:t xml:space="preserve">further explore the use of mediation and conciliation in appropriate civil cases, aligning with the Belgian government's push for ADR to reduce court congestion.</w:t>
      </w:r>
    </w:p>
    <w:p>
      <w:pPr>
        <w:numPr>
          <w:ilvl w:val="0"/>
          <w:numId w:val="1002"/>
        </w:numPr>
        <w:pStyle w:val="Compact"/>
      </w:pPr>
      <w:r>
        <w:rPr>
          <w:bCs/>
          <w:b/>
        </w:rPr>
        <w:t xml:space="preserve">Technological Integration:</w:t>
      </w:r>
      <w:r>
        <w:t xml:space="preserve"> </w:t>
      </w:r>
      <w:r>
        <w:t xml:space="preserve">Continued training on emerging legal technologies could further streamline case preparation and judgment drafting.</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under review performs their duties with distinction. Their commitment to legal excellence, impartiality, and efficiency serves as a model for the judiciary in</w:t>
      </w:r>
      <w:r>
        <w:t xml:space="preserve"> </w:t>
      </w:r>
      <w:r>
        <w:rPr>
          <w:bCs/>
          <w:b/>
        </w:rPr>
        <w:t xml:space="preserve">Belgium Brussels</w:t>
      </w:r>
      <w:r>
        <w:t xml:space="preserve">. The Judge's ability to navigate the complex legal and linguistic environment of the capital region ensures that justice is administered fairly and effectively.</w:t>
      </w:r>
    </w:p>
    <w:p>
      <w:pPr>
        <w:pStyle w:val="BodyText"/>
      </w:pPr>
      <w:r>
        <w:t xml:space="preserve">It is the recommendation of the review panel that the</w:t>
      </w:r>
      <w:r>
        <w:t xml:space="preserve"> </w:t>
      </w:r>
      <w:r>
        <w:rPr>
          <w:bCs/>
          <w:b/>
        </w:rPr>
        <w:t xml:space="preserve">Judge</w:t>
      </w:r>
      <w:r>
        <w:t xml:space="preserve"> </w:t>
      </w:r>
      <w:r>
        <w:t xml:space="preserve">continue their current practices while incorporating the suggested areas for development. This evaluation confirms their suitability for continued service and potential leadership roles within the Belgian judicial system.</w:t>
      </w:r>
    </w:p>
    <w:bookmarkEnd w:id="29"/>
    <w:p>
      <w:pPr>
        <w:pStyle w:val="BodyText"/>
      </w:pPr>
      <w:r>
        <w:rPr>
          <w:bCs/>
          <w:b/>
        </w:rPr>
        <w:t xml:space="preserve">Lead Reviewer</w:t>
      </w:r>
      <w:r>
        <w:br/>
      </w:r>
      <w:r>
        <w:t xml:space="preserve">Senior Judge, Brussels Court of Appeal</w:t>
      </w:r>
      <w:r>
        <w:br/>
      </w:r>
      <w:r>
        <w:t xml:space="preserve">[Signature]</w:t>
      </w:r>
    </w:p>
    <w:p>
      <w:pPr>
        <w:pStyle w:val="BodyText"/>
      </w:pPr>
      <w:r>
        <w:rPr>
          <w:bCs/>
          <w:b/>
        </w:rPr>
        <w:t xml:space="preserve">Co-Reviewer</w:t>
      </w:r>
      <w:r>
        <w:br/>
      </w:r>
      <w:r>
        <w:t xml:space="preserve">Member, Council for the Judiciary</w:t>
      </w:r>
      <w:r>
        <w:br/>
      </w:r>
      <w:r>
        <w:t xml:space="preserve">[Signature]</w:t>
      </w:r>
    </w:p>
    <w:p>
      <w:pPr>
        <w:pStyle w:val="BodyText"/>
      </w:pPr>
      <w:r>
        <w:t xml:space="preserve">Confidential Document - For Internal Use Only. Prepared in accordance with the regulations of the Belgian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2026-10-10T07:36:05Z</dcterms:created>
  <dcterms:modified xsi:type="dcterms:W3CDTF">2026-10-10T07:36:05Z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