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Professional Standards Assessment</w:t>
      </w:r>
    </w:p>
    <w:p>
      <w:pPr>
        <w:pStyle w:val="BodyText"/>
      </w:pPr>
      <w:r>
        <w:rPr>
          <w:bCs/>
          <w:b/>
        </w:rPr>
        <w:t xml:space="preserve">Subject:</w:t>
      </w:r>
      <w:r>
        <w:t xml:space="preserve"> </w:t>
      </w:r>
      <w:r>
        <w:t xml:space="preserve">Evaluation of a Judge</w:t>
      </w:r>
    </w:p>
    <w:p>
      <w:pPr>
        <w:pStyle w:val="BodyText"/>
      </w:pPr>
      <w:r>
        <w:rPr>
          <w:bCs/>
          <w:b/>
        </w:rPr>
        <w:t xml:space="preserve">Jurisdiction:</w:t>
      </w:r>
      <w:r>
        <w:t xml:space="preserve"> </w:t>
      </w:r>
      <w:r>
        <w:t xml:space="preserve">Canada Montreal (Quebec Superior Court / Court of Quebec)</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Judicial Peer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assess the professional conduct, judicial temperament, and legal acumen of a sitting</w:t>
      </w:r>
      <w:r>
        <w:t xml:space="preserve"> </w:t>
      </w:r>
      <w:r>
        <w:rPr>
          <w:bCs/>
          <w:b/>
        </w:rPr>
        <w:t xml:space="preserve">Judge</w:t>
      </w:r>
      <w:r>
        <w:t xml:space="preserve"> </w:t>
      </w:r>
      <w:r>
        <w:t xml:space="preserve">within the jurisdiction of</w:t>
      </w:r>
      <w:r>
        <w:t xml:space="preserve"> </w:t>
      </w:r>
      <w:r>
        <w:rPr>
          <w:bCs/>
          <w:b/>
        </w:rPr>
        <w:t xml:space="preserve">Canada Montreal</w:t>
      </w:r>
      <w:r>
        <w:t xml:space="preserve">. The evaluation process adheres strictly to the principles outlined in the Canadian Judicial Council guidelines and the specific ethical standards required within the province of Quebec. The primary objective of this review is to ensure that the administration of justice in Montreal remains impartial, efficient, and respectful of the rights of all litigants.</w:t>
      </w:r>
    </w:p>
    <w:p>
      <w:pPr>
        <w:pStyle w:val="BodyText"/>
      </w:pPr>
      <w:r>
        <w:t xml:space="preserve">The review panel conducted a comprehensive analysis of court transcripts, observed live proceedings, and gathered confidential feedback from legal practitioners, court staff, and fellow judicial officers. The findings presented herein are intended to provide a balanced, factual, and constructive overview of the</w:t>
      </w:r>
      <w:r>
        <w:t xml:space="preserve"> </w:t>
      </w:r>
      <w:r>
        <w:rPr>
          <w:bCs/>
          <w:b/>
        </w:rPr>
        <w:t xml:space="preserve">Judge</w:t>
      </w:r>
      <w:r>
        <w:t xml:space="preserve">'s performance, highlighting areas of excellence while identifying opportunities for professional development.</w:t>
      </w:r>
    </w:p>
    <w:bookmarkEnd w:id="21"/>
    <w:bookmarkStart w:id="22" w:name="context-and-jurisdictional-standards"/>
    <w:p>
      <w:pPr>
        <w:pStyle w:val="Heading2"/>
      </w:pPr>
      <w:r>
        <w:t xml:space="preserve">2. Context and Jurisdictional Standards</w:t>
      </w:r>
    </w:p>
    <w:p>
      <w:pPr>
        <w:pStyle w:val="FirstParagraph"/>
      </w:pPr>
      <w:r>
        <w:t xml:space="preserve">The legal landscape in</w:t>
      </w:r>
      <w:r>
        <w:t xml:space="preserve"> </w:t>
      </w:r>
      <w:r>
        <w:rPr>
          <w:bCs/>
          <w:b/>
        </w:rPr>
        <w:t xml:space="preserve">Canada Montreal</w:t>
      </w:r>
      <w:r>
        <w:t xml:space="preserve"> </w:t>
      </w:r>
      <w:r>
        <w:t xml:space="preserve">is unique due to the coexistence of the Civil Code of Quebec and federal criminal law. Consequently, a</w:t>
      </w:r>
      <w:r>
        <w:t xml:space="preserve"> </w:t>
      </w:r>
      <w:r>
        <w:rPr>
          <w:bCs/>
          <w:b/>
        </w:rPr>
        <w:t xml:space="preserve">Judge</w:t>
      </w:r>
      <w:r>
        <w:t xml:space="preserve"> </w:t>
      </w:r>
      <w:r>
        <w:t xml:space="preserve">operating in this region must demonstrate a high degree of versatility and a deep understanding of both civil and common law traditions. This</w:t>
      </w:r>
      <w:r>
        <w:t xml:space="preserve"> </w:t>
      </w:r>
      <w:r>
        <w:rPr>
          <w:bCs/>
          <w:b/>
        </w:rPr>
        <w:t xml:space="preserve">Peer Review Report</w:t>
      </w:r>
      <w:r>
        <w:t xml:space="preserve"> </w:t>
      </w:r>
      <w:r>
        <w:t xml:space="preserve">evaluates the subject against these specific regional expectations.</w:t>
      </w:r>
    </w:p>
    <w:p>
      <w:pPr>
        <w:pStyle w:val="BodyText"/>
      </w:pPr>
      <w:r>
        <w:t xml:space="preserve">The review focuses on the</w:t>
      </w:r>
      <w:r>
        <w:t xml:space="preserve"> </w:t>
      </w:r>
      <w:r>
        <w:rPr>
          <w:bCs/>
          <w:b/>
        </w:rPr>
        <w:t xml:space="preserve">Judge</w:t>
      </w:r>
      <w:r>
        <w:t xml:space="preserve">'s ability to navigate complex bilingual proceedings, a critical requirement in Montreal. Furthermore, the assessment considers the</w:t>
      </w:r>
      <w:r>
        <w:t xml:space="preserve"> </w:t>
      </w:r>
      <w:r>
        <w:rPr>
          <w:bCs/>
          <w:b/>
        </w:rPr>
        <w:t xml:space="preserve">Judge</w:t>
      </w:r>
      <w:r>
        <w:t xml:space="preserve">'s adherence to the Code of Conduct for Judges, ensuring that their behavior both on and off the bench upholds the integrity of the judiciary in the eyes of the public.</w:t>
      </w:r>
    </w:p>
    <w:bookmarkEnd w:id="22"/>
    <w:bookmarkStart w:id="25" w:name="assessment-of-judicial-competence"/>
    <w:p>
      <w:pPr>
        <w:pStyle w:val="Heading2"/>
      </w:pPr>
      <w:r>
        <w:t xml:space="preserve">3. Assessment of Judicial Competence</w:t>
      </w:r>
    </w:p>
    <w:bookmarkStart w:id="23" w:name="legal-knowledge-and-reasoning"/>
    <w:p>
      <w:pPr>
        <w:pStyle w:val="Heading3"/>
      </w:pPr>
      <w:r>
        <w:t xml:space="preserve">3.1 Legal Knowledge and Reasoning</w:t>
      </w:r>
    </w:p>
    <w:p>
      <w:pPr>
        <w:pStyle w:val="FirstParagraph"/>
      </w:pPr>
      <w:r>
        <w:t xml:space="preserve">The</w:t>
      </w:r>
      <w:r>
        <w:t xml:space="preserve"> </w:t>
      </w:r>
      <w:r>
        <w:rPr>
          <w:bCs/>
          <w:b/>
        </w:rPr>
        <w:t xml:space="preserve">Judge</w:t>
      </w:r>
      <w:r>
        <w:t xml:space="preserve"> </w:t>
      </w:r>
      <w:r>
        <w:t xml:space="preserve">demonstrates a robust command of the relevant statutes and case law applicable in</w:t>
      </w:r>
      <w:r>
        <w:t xml:space="preserve"> </w:t>
      </w:r>
      <w:r>
        <w:rPr>
          <w:bCs/>
          <w:b/>
        </w:rPr>
        <w:t xml:space="preserve">Canada Montreal</w:t>
      </w:r>
      <w:r>
        <w:t xml:space="preserve">. In the reviewed cases, the reasoning provided in written judgments was logical, well-structured, and thoroughly cited. The</w:t>
      </w:r>
      <w:r>
        <w:t xml:space="preserve"> </w:t>
      </w:r>
      <w:r>
        <w:rPr>
          <w:bCs/>
          <w:b/>
        </w:rPr>
        <w:t xml:space="preserve">Judge</w:t>
      </w:r>
      <w:r>
        <w:t xml:space="preserve"> </w:t>
      </w:r>
      <w:r>
        <w:t xml:space="preserve">showed particular strength in interpreting the Civil Code of Quebec, ensuring that rulings were consistent with established jurisprudence.</w:t>
      </w:r>
    </w:p>
    <w:p>
      <w:pPr>
        <w:pStyle w:val="BodyText"/>
      </w:pPr>
      <w:r>
        <w:t xml:space="preserve">However, the</w:t>
      </w:r>
      <w:r>
        <w:t xml:space="preserve"> </w:t>
      </w:r>
      <w:r>
        <w:rPr>
          <w:bCs/>
          <w:b/>
        </w:rPr>
        <w:t xml:space="preserve">Peer Review Report</w:t>
      </w:r>
      <w:r>
        <w:t xml:space="preserve"> </w:t>
      </w:r>
      <w:r>
        <w:t xml:space="preserve">notes that in instances involving complex federal-provincial jurisdictional overlaps, the</w:t>
      </w:r>
      <w:r>
        <w:t xml:space="preserve"> </w:t>
      </w:r>
      <w:r>
        <w:rPr>
          <w:bCs/>
          <w:b/>
        </w:rPr>
        <w:t xml:space="preserve">Judge</w:t>
      </w:r>
      <w:r>
        <w:t xml:space="preserve"> </w:t>
      </w:r>
      <w:r>
        <w:t xml:space="preserve">occasionally relied heavily on counsel's submissions rather than independent statutory analysis. While not a deficiency, this suggests an area where further specialization could enhance the quality of decision-making.</w:t>
      </w:r>
    </w:p>
    <w:bookmarkEnd w:id="23"/>
    <w:bookmarkStart w:id="24" w:name="courtroom-management-and-efficiency"/>
    <w:p>
      <w:pPr>
        <w:pStyle w:val="Heading3"/>
      </w:pPr>
      <w:r>
        <w:t xml:space="preserve">3.2 Courtroom Management and Efficiency</w:t>
      </w:r>
    </w:p>
    <w:p>
      <w:pPr>
        <w:pStyle w:val="FirstParagraph"/>
      </w:pPr>
      <w:r>
        <w:t xml:space="preserve">Efficiency is a cornerstone of the justice system in a busy urban center like Montreal. The</w:t>
      </w:r>
      <w:r>
        <w:t xml:space="preserve"> </w:t>
      </w:r>
      <w:r>
        <w:rPr>
          <w:bCs/>
          <w:b/>
        </w:rPr>
        <w:t xml:space="preserve">Judge</w:t>
      </w:r>
      <w:r>
        <w:t xml:space="preserve"> </w:t>
      </w:r>
      <w:r>
        <w:t xml:space="preserve">was observed to be effective in managing the docket, minimizing unnecessary delays, and keeping proceedings focused on the core legal issues. The</w:t>
      </w:r>
      <w:r>
        <w:t xml:space="preserve"> </w:t>
      </w:r>
      <w:r>
        <w:rPr>
          <w:bCs/>
          <w:b/>
        </w:rPr>
        <w:t xml:space="preserve">Judge</w:t>
      </w:r>
      <w:r>
        <w:t xml:space="preserve"> </w:t>
      </w:r>
      <w:r>
        <w:t xml:space="preserve">successfully balanced the need for thoroughness with the practical constraints of court schedules.</w:t>
      </w:r>
    </w:p>
    <w:p>
      <w:pPr>
        <w:pStyle w:val="BodyText"/>
      </w:pPr>
      <w:r>
        <w:t xml:space="preserve">The review panel noted that the</w:t>
      </w:r>
      <w:r>
        <w:t xml:space="preserve"> </w:t>
      </w:r>
      <w:r>
        <w:rPr>
          <w:bCs/>
          <w:b/>
        </w:rPr>
        <w:t xml:space="preserve">Judge</w:t>
      </w:r>
      <w:r>
        <w:t xml:space="preserve"> </w:t>
      </w:r>
      <w:r>
        <w:t xml:space="preserve">maintains a professional demeanor that commands respect without intimidation. This approach facilitates a cooperative environment among counsel, which is essential for the smooth functioning of the courts in</w:t>
      </w:r>
      <w:r>
        <w:t xml:space="preserve"> </w:t>
      </w:r>
      <w:r>
        <w:rPr>
          <w:bCs/>
          <w:b/>
        </w:rPr>
        <w:t xml:space="preserve">Canada Montreal</w:t>
      </w:r>
      <w:r>
        <w:t xml:space="preserve">.</w:t>
      </w:r>
    </w:p>
    <w:bookmarkEnd w:id="24"/>
    <w:bookmarkEnd w:id="25"/>
    <w:bookmarkStart w:id="28" w:name="Xe2c3ae96c3b2f7fb7c97958cf1816ee8a8511da"/>
    <w:p>
      <w:pPr>
        <w:pStyle w:val="Heading2"/>
      </w:pPr>
      <w:r>
        <w:t xml:space="preserve">4. Assessment of Judicial Temperament and Ethics</w:t>
      </w:r>
    </w:p>
    <w:bookmarkStart w:id="26" w:name="impartiality-and-fairness"/>
    <w:p>
      <w:pPr>
        <w:pStyle w:val="Heading3"/>
      </w:pPr>
      <w:r>
        <w:t xml:space="preserve">4.1 Impartiality and Fairness</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Judge</w:t>
      </w:r>
      <w:r>
        <w:t xml:space="preserve">'s impartiality. Feedback from legal practitioners indicates that the</w:t>
      </w:r>
      <w:r>
        <w:t xml:space="preserve"> </w:t>
      </w:r>
      <w:r>
        <w:rPr>
          <w:bCs/>
          <w:b/>
        </w:rPr>
        <w:t xml:space="preserve">Judge</w:t>
      </w:r>
      <w:r>
        <w:t xml:space="preserve"> </w:t>
      </w:r>
      <w:r>
        <w:t xml:space="preserve">treats all parties with equal respect, regardless of their background, representation status, or the nature of the case. There were no substantiated complaints regarding bias or prejudice during the review period.</w:t>
      </w:r>
    </w:p>
    <w:p>
      <w:pPr>
        <w:pStyle w:val="BodyText"/>
      </w:pPr>
      <w:r>
        <w:t xml:space="preserve">The</w:t>
      </w:r>
      <w:r>
        <w:t xml:space="preserve"> </w:t>
      </w:r>
      <w:r>
        <w:rPr>
          <w:bCs/>
          <w:b/>
        </w:rPr>
        <w:t xml:space="preserve">Judge</w:t>
      </w:r>
      <w:r>
        <w:t xml:space="preserve"> </w:t>
      </w:r>
      <w:r>
        <w:t xml:space="preserve">was observed to be patient with self-represented litigants, providing necessary guidance to ensure they understood the procedural requirements without overstepping the bounds of neutrality. This is particularly important in Montreal, where access to justice is a significant public concern.</w:t>
      </w:r>
    </w:p>
    <w:bookmarkEnd w:id="26"/>
    <w:bookmarkStart w:id="27" w:name="bilingualism-and-communication"/>
    <w:p>
      <w:pPr>
        <w:pStyle w:val="Heading3"/>
      </w:pPr>
      <w:r>
        <w:t xml:space="preserve">4.2 Bilingualism and Communication</w:t>
      </w:r>
    </w:p>
    <w:p>
      <w:pPr>
        <w:pStyle w:val="FirstParagraph"/>
      </w:pPr>
      <w:r>
        <w:t xml:space="preserve">Given the bilingual nature of</w:t>
      </w:r>
      <w:r>
        <w:t xml:space="preserve"> </w:t>
      </w:r>
      <w:r>
        <w:rPr>
          <w:bCs/>
          <w:b/>
        </w:rPr>
        <w:t xml:space="preserve">Canada Montreal</w:t>
      </w:r>
      <w:r>
        <w:t xml:space="preserve">, the</w:t>
      </w:r>
      <w:r>
        <w:t xml:space="preserve"> </w:t>
      </w:r>
      <w:r>
        <w:rPr>
          <w:bCs/>
          <w:b/>
        </w:rPr>
        <w:t xml:space="preserve">Judge</w:t>
      </w:r>
      <w:r>
        <w:t xml:space="preserve">'s ability to communicate effectively in both English and French is paramount. The review confirms that the</w:t>
      </w:r>
      <w:r>
        <w:t xml:space="preserve"> </w:t>
      </w:r>
      <w:r>
        <w:rPr>
          <w:bCs/>
          <w:b/>
        </w:rPr>
        <w:t xml:space="preserve">Judge</w:t>
      </w:r>
      <w:r>
        <w:t xml:space="preserve"> </w:t>
      </w:r>
      <w:r>
        <w:t xml:space="preserve">possesses the linguistic proficiency required to conduct hearings in either language with clarity and precision. This capability ensures that language is never a barrier to justice in their courtroom.</w:t>
      </w:r>
    </w:p>
    <w:bookmarkEnd w:id="27"/>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professional growth of the</w:t>
      </w:r>
      <w:r>
        <w:t xml:space="preserve"> </w:t>
      </w:r>
      <w:r>
        <w:rPr>
          <w:bCs/>
          <w:b/>
        </w:rPr>
        <w:t xml:space="preserve">Judge</w:t>
      </w:r>
      <w:r>
        <w:t xml:space="preserve">:</w:t>
      </w:r>
    </w:p>
    <w:p>
      <w:pPr>
        <w:numPr>
          <w:ilvl w:val="0"/>
          <w:numId w:val="1001"/>
        </w:numPr>
        <w:pStyle w:val="Compact"/>
      </w:pPr>
      <w:r>
        <w:rPr>
          <w:bCs/>
          <w:b/>
        </w:rPr>
        <w:t xml:space="preserve">Continuing Legal Education:</w:t>
      </w:r>
      <w:r>
        <w:t xml:space="preserve"> </w:t>
      </w:r>
      <w:r>
        <w:t xml:space="preserve">It is recommended that the</w:t>
      </w:r>
      <w:r>
        <w:t xml:space="preserve"> </w:t>
      </w:r>
      <w:r>
        <w:rPr>
          <w:bCs/>
          <w:b/>
        </w:rPr>
        <w:t xml:space="preserve">Judge</w:t>
      </w:r>
      <w:r>
        <w:t xml:space="preserve"> </w:t>
      </w:r>
      <w:r>
        <w:t xml:space="preserve">participate in advanced seminars focusing on emerging issues in federal-provincial jurisdictional conflicts, which are increasingly common in Montreal courts.</w:t>
      </w:r>
    </w:p>
    <w:p>
      <w:pPr>
        <w:numPr>
          <w:ilvl w:val="0"/>
          <w:numId w:val="1001"/>
        </w:numPr>
        <w:pStyle w:val="Compact"/>
      </w:pPr>
      <w:r>
        <w:rPr>
          <w:bCs/>
          <w:b/>
        </w:rPr>
        <w:t xml:space="preserve">Procedural Innovation:</w:t>
      </w:r>
      <w:r>
        <w:t xml:space="preserve"> </w:t>
      </w:r>
      <w:r>
        <w:t xml:space="preserve">The</w:t>
      </w:r>
      <w:r>
        <w:t xml:space="preserve"> </w:t>
      </w:r>
      <w:r>
        <w:rPr>
          <w:bCs/>
          <w:b/>
        </w:rPr>
        <w:t xml:space="preserve">Judge</w:t>
      </w:r>
      <w:r>
        <w:t xml:space="preserve"> </w:t>
      </w:r>
      <w:r>
        <w:t xml:space="preserve">is encouraged to explore and implement modern case management techniques to further reduce backlog, aligning with broader efficiency goals of the Quebec judiciary.</w:t>
      </w:r>
    </w:p>
    <w:p>
      <w:pPr>
        <w:numPr>
          <w:ilvl w:val="0"/>
          <w:numId w:val="1001"/>
        </w:numPr>
        <w:pStyle w:val="Compact"/>
      </w:pPr>
      <w:r>
        <w:rPr>
          <w:bCs/>
          <w:b/>
        </w:rPr>
        <w:t xml:space="preserve">Community Engagement:</w:t>
      </w:r>
      <w:r>
        <w:t xml:space="preserve"> </w:t>
      </w:r>
      <w:r>
        <w:t xml:space="preserve">To further strengthen public trust, the</w:t>
      </w:r>
      <w:r>
        <w:t xml:space="preserve"> </w:t>
      </w:r>
      <w:r>
        <w:rPr>
          <w:bCs/>
          <w:b/>
        </w:rPr>
        <w:t xml:space="preserve">Judge</w:t>
      </w:r>
      <w:r>
        <w:t xml:space="preserve"> </w:t>
      </w:r>
      <w:r>
        <w:t xml:space="preserve">may consider participating in educational outreach programs within the Montreal community to explain the judicial process to the public.</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under review meets the high standards expected of judicial officers in</w:t>
      </w:r>
      <w:r>
        <w:t xml:space="preserve"> </w:t>
      </w:r>
      <w:r>
        <w:rPr>
          <w:bCs/>
          <w:b/>
        </w:rPr>
        <w:t xml:space="preserve">Canada Montreal</w:t>
      </w:r>
      <w:r>
        <w:t xml:space="preserve">. The</w:t>
      </w:r>
      <w:r>
        <w:t xml:space="preserve"> </w:t>
      </w:r>
      <w:r>
        <w:rPr>
          <w:bCs/>
          <w:b/>
        </w:rPr>
        <w:t xml:space="preserve">Judge</w:t>
      </w:r>
      <w:r>
        <w:t xml:space="preserve"> </w:t>
      </w:r>
      <w:r>
        <w:t xml:space="preserve">exhibits strong legal competence, a fair and impartial temperament, and a commitment to the efficient administration of justice. The minor areas for improvement identified are typical of professional development and do not detract from the overall positive assessment. The</w:t>
      </w:r>
      <w:r>
        <w:t xml:space="preserve"> </w:t>
      </w:r>
      <w:r>
        <w:rPr>
          <w:bCs/>
          <w:b/>
        </w:rPr>
        <w:t xml:space="preserve">Judge</w:t>
      </w:r>
      <w:r>
        <w:t xml:space="preserve"> </w:t>
      </w:r>
      <w:r>
        <w:t xml:space="preserve">continues to serve as a vital pillar of the justice system in Quebec, upholding the rule of law with integrity and dedication.</w:t>
      </w:r>
    </w:p>
    <w:bookmarkEnd w:id="30"/>
    <w:p>
      <w:pPr>
        <w:pStyle w:val="BodyText"/>
      </w:pPr>
      <w:r>
        <w:rPr>
          <w:bCs/>
          <w:b/>
        </w:rPr>
        <w:t xml:space="preserve">Prepared By:</w:t>
      </w:r>
    </w:p>
    <w:p>
      <w:pPr>
        <w:pStyle w:val="BodyText"/>
      </w:pPr>
      <w:r>
        <w:t xml:space="preserve">Senior Peer Reviewer</w:t>
      </w:r>
    </w:p>
    <w:p>
      <w:pPr>
        <w:pStyle w:val="BodyText"/>
      </w:pPr>
      <w:r>
        <w:t xml:space="preserve">Canadian Judicial Council Liaison</w:t>
      </w:r>
    </w:p>
    <w:p>
      <w:pPr>
        <w:pStyle w:val="BodyText"/>
      </w:pPr>
      <w:r>
        <w:t xml:space="preserve">Signature</w:t>
      </w:r>
    </w:p>
    <w:p>
      <w:pPr>
        <w:pStyle w:val="BodyText"/>
      </w:pPr>
      <w:r>
        <w:rPr>
          <w:bCs/>
          <w:b/>
        </w:rPr>
        <w:t xml:space="preserve">Reviewed By:</w:t>
      </w:r>
    </w:p>
    <w:p>
      <w:pPr>
        <w:pStyle w:val="BodyText"/>
      </w:pPr>
      <w:r>
        <w:t xml:space="preserve">Chairperson, Montreal Judicial Review Panel</w:t>
      </w:r>
    </w:p>
    <w:p>
      <w:pPr>
        <w:pStyle w:val="BodyText"/>
      </w:pPr>
      <w:r>
        <w:t xml:space="preserve">Quebec Superior Court</w:t>
      </w:r>
    </w:p>
    <w:p>
      <w:pPr>
        <w:pStyle w:val="BodyText"/>
      </w:pPr>
      <w:r>
        <w:t xml:space="preserve">Signature</w:t>
      </w:r>
    </w:p>
    <w:p>
      <w:pPr>
        <w:pStyle w:val="BodyText"/>
      </w:pPr>
      <w:r>
        <w:rPr>
          <w:bCs/>
          <w:b/>
        </w:rPr>
        <w:t xml:space="preserve">Confidentiality Notice:</w:t>
      </w:r>
      <w:r>
        <w:t xml:space="preserve"> </w:t>
      </w:r>
      <w:r>
        <w:t xml:space="preserve">This document contains sensitive information regarding the professional evaluation of a judicial officer. It is intended solely for the use of the authorized recipients within the judicial administration of Canada Montreal. Unauthorized distribution, reproduction, or disclosure of this Peer Review Report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2026-10-10T07:02:40Z</dcterms:created>
  <dcterms:modified xsi:type="dcterms:W3CDTF">2026-10-10T07:02:40Z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