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r>
        <w:t xml:space="preserve"> </w:t>
      </w:r>
      <w:r>
        <w:t xml:space="preserve">-</w:t>
      </w:r>
      <w:r>
        <w:t xml:space="preserve"> </w:t>
      </w:r>
      <w:r>
        <w:t xml:space="preserve">Medellín,</w:t>
      </w:r>
      <w:r>
        <w:t xml:space="preserve"> </w:t>
      </w:r>
      <w:r>
        <w:t xml:space="preserve">Colombia</w:t>
      </w:r>
    </w:p>
    <w:bookmarkStart w:id="20" w:name="Xb3a39476a87361a95de5ef3e13942a79e8e2770"/>
    <w:p>
      <w:pPr>
        <w:pStyle w:val="Heading1"/>
      </w:pPr>
      <w:r>
        <w:t xml:space="preserve">Peer Review Report: Judicial Performance Evaluation</w:t>
      </w:r>
    </w:p>
    <w:p>
      <w:pPr>
        <w:pStyle w:val="FirstParagraph"/>
      </w:pPr>
      <w:r>
        <w:t xml:space="preserve">Jurisdiction:</w:t>
      </w:r>
      <w:r>
        <w:t xml:space="preserve"> </w:t>
      </w:r>
      <w:r>
        <w:t xml:space="preserve">Medellín, Antioquia, Colombia</w:t>
      </w:r>
    </w:p>
    <w:p>
      <w:pPr>
        <w:pStyle w:val="BodyText"/>
      </w:pPr>
      <w:r>
        <w:t xml:space="preserve">Court:</w:t>
      </w:r>
      <w:r>
        <w:t xml:space="preserve"> </w:t>
      </w:r>
      <w:r>
        <w:t xml:space="preserve">Circuit Criminal Court (Tribunal Superior de Justicia de Antioquia)</w:t>
      </w:r>
    </w:p>
    <w:p>
      <w:pPr>
        <w:pStyle w:val="BodyText"/>
      </w:pPr>
      <w:r>
        <w:t xml:space="preserve">Review Period:</w:t>
      </w:r>
      <w:r>
        <w:t xml:space="preserve"> </w:t>
      </w:r>
      <w:r>
        <w:t xml:space="preserve">January 1, 2023 – December 31, 2023</w:t>
      </w:r>
    </w:p>
    <w:p>
      <w:pPr>
        <w:pStyle w:val="BodyText"/>
      </w:pPr>
      <w:r>
        <w:t xml:space="preserve">Report ID:</w:t>
      </w:r>
      <w:r>
        <w:t xml:space="preserve"> </w:t>
      </w:r>
      <w:r>
        <w:t xml:space="preserve">PR-MED-2023-089</w:t>
      </w:r>
    </w:p>
    <w:p>
      <w:pPr>
        <w:pStyle w:val="BodyText"/>
      </w:pPr>
      <w:r>
        <w:t xml:space="preserve">Date of Issue:</w:t>
      </w:r>
      <w:r>
        <w:t xml:space="preserve"> </w:t>
      </w:r>
      <w:r>
        <w:t xml:space="preserve">March 15, 2024</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professional conduct, judicial reasoning, and procedural efficiency of the subject Judge within the judicial system of Medellín, Colombia. The review was conducted by a panel of senior magistrates and legal experts appointed by the Consejo Superior de la Judicatura (CSJ). The primary objective of this assessment is to ensure the highest standards of justice, impartiality, and adherence to the Colombian Constitution and statutory law.</w:t>
      </w:r>
    </w:p>
    <w:p>
      <w:pPr>
        <w:pStyle w:val="BodyText"/>
      </w:pPr>
      <w:r>
        <w:t xml:space="preserve">The evaluation focuses on the Judge's performance during the 2023 fiscal year, analyzing a representative sample of criminal and civil cases handled within the Medellín jurisdiction. The findings indicate a generally high level of competence, with specific areas identified for professional development regarding case management and the application of recent jurisprudential updates from the Corte Constitucional.</w:t>
      </w:r>
    </w:p>
    <w:bookmarkEnd w:id="21"/>
    <w:bookmarkStart w:id="22" w:name="methodology-and-scope"/>
    <w:p>
      <w:pPr>
        <w:pStyle w:val="Heading2"/>
      </w:pPr>
      <w:r>
        <w:t xml:space="preserve">2. Methodology and Scope</w:t>
      </w:r>
    </w:p>
    <w:p>
      <w:pPr>
        <w:pStyle w:val="FirstParagraph"/>
      </w:pPr>
      <w:r>
        <w:t xml:space="preserve">The peer review process adhered to the guidelines established by the Colombian judicial branch for internal quality control. The methodology included:</w:t>
      </w:r>
    </w:p>
    <w:p>
      <w:pPr>
        <w:numPr>
          <w:ilvl w:val="0"/>
          <w:numId w:val="1001"/>
        </w:numPr>
        <w:pStyle w:val="Compact"/>
      </w:pPr>
      <w:r>
        <w:rPr>
          <w:bCs/>
          <w:b/>
        </w:rPr>
        <w:t xml:space="preserve">Case File Analysis:</w:t>
      </w:r>
      <w:r>
        <w:t xml:space="preserve"> </w:t>
      </w:r>
      <w:r>
        <w:t xml:space="preserve">A random selection of 50 closed cases was reviewed to assess the quality of written rulings, adherence to procedural timelines, and logical consistency.</w:t>
      </w:r>
    </w:p>
    <w:p>
      <w:pPr>
        <w:numPr>
          <w:ilvl w:val="0"/>
          <w:numId w:val="1001"/>
        </w:numPr>
        <w:pStyle w:val="Compact"/>
      </w:pPr>
      <w:r>
        <w:rPr>
          <w:bCs/>
          <w:b/>
        </w:rPr>
        <w:t xml:space="preserve">Observation of Hearings:</w:t>
      </w:r>
      <w:r>
        <w:t xml:space="preserve"> </w:t>
      </w:r>
      <w:r>
        <w:t xml:space="preserve">Three public hearings were observed in person to evaluate courtroom demeanor, interaction with litigants, and management of adversarial proceedings.</w:t>
      </w:r>
    </w:p>
    <w:p>
      <w:pPr>
        <w:numPr>
          <w:ilvl w:val="0"/>
          <w:numId w:val="1001"/>
        </w:numPr>
        <w:pStyle w:val="Compact"/>
      </w:pPr>
      <w:r>
        <w:rPr>
          <w:bCs/>
          <w:b/>
        </w:rPr>
        <w:t xml:space="preserve">Stakeholder Feedback:</w:t>
      </w:r>
      <w:r>
        <w:t xml:space="preserve"> </w:t>
      </w:r>
      <w:r>
        <w:t xml:space="preserve">Anonymous surveys were distributed to public defenders, prosecutors, and private attorneys who frequently appear before the Judge in Medellín.</w:t>
      </w:r>
    </w:p>
    <w:p>
      <w:pPr>
        <w:numPr>
          <w:ilvl w:val="0"/>
          <w:numId w:val="1001"/>
        </w:numPr>
        <w:pStyle w:val="Compact"/>
      </w:pPr>
      <w:r>
        <w:rPr>
          <w:bCs/>
          <w:b/>
        </w:rPr>
        <w:t xml:space="preserve">Ethical Compliance Check:</w:t>
      </w:r>
      <w:r>
        <w:t xml:space="preserve"> </w:t>
      </w:r>
      <w:r>
        <w:t xml:space="preserve">A review of the Judge's declarations of assets and potential conflicts of interest was conducted to ensure transparency.</w:t>
      </w:r>
    </w:p>
    <w:bookmarkEnd w:id="22"/>
    <w:bookmarkStart w:id="23" w:name="Xdd5898635cde399b614966ed0294ff5a404b9e0"/>
    <w:p>
      <w:pPr>
        <w:pStyle w:val="Heading2"/>
      </w:pPr>
      <w:r>
        <w:t xml:space="preserve">3. Evaluation of Judicial Reasoning and Legal Knowledge</w:t>
      </w:r>
    </w:p>
    <w:p>
      <w:pPr>
        <w:pStyle w:val="FirstParagraph"/>
      </w:pPr>
      <w:r>
        <w:t xml:space="preserve">The subject Judge demonstrates a robust understanding of Colombian substantive and procedural law. The written decisions analyzed were well-structured, clearly articulating the facts, the legal questions presented, and the application of relevant statutes. The Judge consistently cites precedents from the Corte Suprema de Justicia and the Consejo de Estado, ensuring alignment with national jurisprudence.</w:t>
      </w:r>
    </w:p>
    <w:p>
      <w:pPr>
        <w:pStyle w:val="BodyText"/>
      </w:pPr>
      <w:r>
        <w:t xml:space="preserve">However, the review identified a need for greater depth in the analysis of constitutional rights in complex criminal cases. While the rulings are legally sound, some decisions lacked a thorough discussion on how specific procedural decisions impacted the fundamental rights of the accused, a critical aspect of modern judicial practice in Colombia.</w:t>
      </w:r>
    </w:p>
    <w:p>
      <w:pPr>
        <w:pStyle w:val="BodyText"/>
      </w:pPr>
      <w:r>
        <w:t xml:space="preserve">Rating: Legal Reasoning &amp; Knowledge</w:t>
      </w:r>
      <w:r>
        <w:t xml:space="preserve"> </w:t>
      </w:r>
      <w:r>
        <w:t xml:space="preserve">4.2 / 5.0</w:t>
      </w:r>
    </w:p>
    <w:bookmarkEnd w:id="23"/>
    <w:bookmarkStart w:id="24" w:name="X0891687a0faa1682974d1b4d059d5645979dc4b"/>
    <w:p>
      <w:pPr>
        <w:pStyle w:val="Heading2"/>
      </w:pPr>
      <w:r>
        <w:t xml:space="preserve">4. Procedural Efficiency and Case Management</w:t>
      </w:r>
    </w:p>
    <w:p>
      <w:pPr>
        <w:pStyle w:val="FirstParagraph"/>
      </w:pPr>
      <w:r>
        <w:t xml:space="preserve">Efficiency is a paramount concern for the judicial system in Medellín, given the high volume of cases. The Judge has maintained a docket that is slightly below the national average for pending cases, which is a positive indicator. The timeliness of rulings was generally satisfactory, with 85% of decisions issued within the statutory deadlines.</w:t>
      </w:r>
    </w:p>
    <w:p>
      <w:pPr>
        <w:pStyle w:val="BodyText"/>
      </w:pPr>
      <w:r>
        <w:t xml:space="preserve">Nevertheless, the review noted a tendency to schedule unnecessary continuances in certain civil matters. This practice, while sometimes justified by the complexity of the evidence, has contributed to minor delays that affect the parties involved. The Judge is encouraged to adopt stricter scheduling orders to minimize adjournments and expedite the resolution of disputes.</w:t>
      </w:r>
    </w:p>
    <w:p>
      <w:pPr>
        <w:pStyle w:val="BodyText"/>
      </w:pPr>
      <w:r>
        <w:t xml:space="preserve">Rating: Procedural Efficiency</w:t>
      </w:r>
      <w:r>
        <w:t xml:space="preserve"> </w:t>
      </w:r>
      <w:r>
        <w:t xml:space="preserve">3.8 / 5.0</w:t>
      </w:r>
    </w:p>
    <w:bookmarkEnd w:id="24"/>
    <w:bookmarkStart w:id="25" w:name="X65a595a6aae71e3f689c90bdd6472a7ef10956f"/>
    <w:p>
      <w:pPr>
        <w:pStyle w:val="Heading2"/>
      </w:pPr>
      <w:r>
        <w:t xml:space="preserve">5. Impartiality, Ethics, and Courtroom Demeanor</w:t>
      </w:r>
    </w:p>
    <w:p>
      <w:pPr>
        <w:pStyle w:val="FirstParagraph"/>
      </w:pPr>
      <w:r>
        <w:t xml:space="preserve">The Judge's impartiality was not called into question during this review. Observations of courtroom proceedings revealed a professional and respectful demeanor towards all participants, including victims, defendants, and legal counsel. The Judge effectively managed disruptive behavior and maintained order without displaying bias or favoritism.</w:t>
      </w:r>
    </w:p>
    <w:p>
      <w:pPr>
        <w:pStyle w:val="BodyText"/>
      </w:pPr>
      <w:r>
        <w:t xml:space="preserve">Feedback from legal professionals in Medellín highlighted the Judge's accessibility and willingness to consider arguments from both sides. There were no reports of ethical violations, ex parte communications, or conflicts of interest. The Judge's conduct aligns with the ethical standards set forth by the Consejo Superior de la Judicatura.</w:t>
      </w:r>
    </w:p>
    <w:p>
      <w:pPr>
        <w:pStyle w:val="BodyText"/>
      </w:pPr>
      <w:r>
        <w:t xml:space="preserve">Rating: Impartiality &amp; Ethics</w:t>
      </w:r>
      <w:r>
        <w:t xml:space="preserve"> </w:t>
      </w:r>
      <w:r>
        <w:t xml:space="preserve">4.8 / 5.0</w:t>
      </w:r>
    </w:p>
    <w:bookmarkEnd w:id="25"/>
    <w:bookmarkStart w:id="26" w:name="X2505c1a0023529382629b60d8e35fc2b9eaee81"/>
    <w:p>
      <w:pPr>
        <w:pStyle w:val="Heading2"/>
      </w:pPr>
      <w:r>
        <w:t xml:space="preserve">6. Recommendations for Professional Development</w:t>
      </w:r>
    </w:p>
    <w:p>
      <w:pPr>
        <w:pStyle w:val="FirstParagraph"/>
      </w:pPr>
      <w:r>
        <w:t xml:space="preserve">Based on the findings of this Peer Review Report, the following recommendations are made to enhance the Judge's performance:</w:t>
      </w:r>
    </w:p>
    <w:p>
      <w:pPr>
        <w:numPr>
          <w:ilvl w:val="0"/>
          <w:numId w:val="1002"/>
        </w:numPr>
        <w:pStyle w:val="Compact"/>
      </w:pPr>
      <w:r>
        <w:rPr>
          <w:bCs/>
          <w:b/>
        </w:rPr>
        <w:t xml:space="preserve">Advanced Constitutional Law Training:</w:t>
      </w:r>
      <w:r>
        <w:t xml:space="preserve"> </w:t>
      </w:r>
      <w:r>
        <w:t xml:space="preserve">It is recommended that the Judge attend specialized seminars on constitutional criminal law to deepen the analysis of fundamental rights in rulings.</w:t>
      </w:r>
    </w:p>
    <w:p>
      <w:pPr>
        <w:numPr>
          <w:ilvl w:val="0"/>
          <w:numId w:val="1002"/>
        </w:numPr>
        <w:pStyle w:val="Compact"/>
      </w:pPr>
      <w:r>
        <w:rPr>
          <w:bCs/>
          <w:b/>
        </w:rPr>
        <w:t xml:space="preserve">Case Management Workshops:</w:t>
      </w:r>
      <w:r>
        <w:t xml:space="preserve"> </w:t>
      </w:r>
      <w:r>
        <w:t xml:space="preserve">Participation in workshops focused on efficient docket management and alternative dispute resolution techniques is advised to reduce unnecessary continuances.</w:t>
      </w:r>
    </w:p>
    <w:p>
      <w:pPr>
        <w:numPr>
          <w:ilvl w:val="0"/>
          <w:numId w:val="1002"/>
        </w:numPr>
        <w:pStyle w:val="Compact"/>
      </w:pPr>
      <w:r>
        <w:rPr>
          <w:bCs/>
          <w:b/>
        </w:rPr>
        <w:t xml:space="preserve">Enhanced Written Justification:</w:t>
      </w:r>
      <w:r>
        <w:t xml:space="preserve"> </w:t>
      </w:r>
      <w:r>
        <w:t xml:space="preserve">The Judge should strive to provide more detailed explanations for procedural decisions, particularly those that may impact the rights of the parties, to ensure greater transparency and clarity.</w:t>
      </w:r>
    </w:p>
    <w:bookmarkEnd w:id="26"/>
    <w:bookmarkStart w:id="27" w:name="conclusion"/>
    <w:p>
      <w:pPr>
        <w:pStyle w:val="Heading2"/>
      </w:pPr>
      <w:r>
        <w:t xml:space="preserve">7. Conclusion</w:t>
      </w:r>
    </w:p>
    <w:p>
      <w:pPr>
        <w:pStyle w:val="FirstParagraph"/>
      </w:pPr>
      <w:r>
        <w:t xml:space="preserve">In conclusion, the subject Judge is a competent and ethical member of the judicial branch in Medellín, Colombia. The overall performance is satisfactory, with strengths in legal knowledge and impartiality. By addressing the identified areas for improvement, particularly in procedural efficiency and constitutional analysis, the Judge can further contribute to the integrity and effectiveness of the Colombian justice system. This Peer Review Report serves as a constructive tool for professional growth and ensures accountability within the judiciary.</w:t>
      </w:r>
    </w:p>
    <w:bookmarkEnd w:id="27"/>
    <w:p>
      <w:pPr>
        <w:pStyle w:val="BodyText"/>
      </w:pPr>
      <w:r>
        <w:t xml:space="preserve">Dr. Alejandro Restrepo</w:t>
      </w:r>
    </w:p>
    <w:p>
      <w:pPr>
        <w:pStyle w:val="BodyText"/>
      </w:pPr>
      <w:r>
        <w:t xml:space="preserve">Lead Reviewer, Peer Review Panel</w:t>
      </w:r>
    </w:p>
    <w:p>
      <w:pPr>
        <w:pStyle w:val="BodyText"/>
      </w:pPr>
      <w:r>
        <w:t xml:space="preserve">Magistrate Elena Gómez</w:t>
      </w:r>
    </w:p>
    <w:p>
      <w:pPr>
        <w:pStyle w:val="BodyText"/>
      </w:pPr>
      <w:r>
        <w:t xml:space="preserve">Consejo Superior de la Judicatura</w:t>
      </w:r>
    </w:p>
    <w:p>
      <w:pPr>
        <w:pStyle w:val="BodyText"/>
      </w:pPr>
      <w:r>
        <w:t xml:space="preserve">© 2024 Consejo Superior de la Judicatura - República de Colombia. All rights reserved. This document is confidential and intended solely for the use of the addressee.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 - Medellín, Colombia</dc:title>
  <dc:creator/>
  <dc:language>en</dc:language>
  <cp:keywords/>
  <dcterms:created xsi:type="dcterms:W3CDTF">2026-10-10T04:35:11Z</dcterms:created>
  <dcterms:modified xsi:type="dcterms:W3CDTF">2026-10-10T04:35:11Z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