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w:t>
      </w:r>
      <w:r>
        <w:t xml:space="preserve"> </w:t>
      </w:r>
      <w:r>
        <w:t xml:space="preserve">Marseille,</w:t>
      </w:r>
      <w:r>
        <w:t xml:space="preserve"> </w:t>
      </w:r>
      <w:r>
        <w:t xml:space="preserve">France</w:t>
      </w:r>
    </w:p>
    <w:bookmarkStart w:id="21" w:name="peer-review-report"/>
    <w:p>
      <w:pPr>
        <w:pStyle w:val="Heading1"/>
      </w:pPr>
      <w:r>
        <w:t xml:space="preserve">Peer Review Report</w:t>
      </w:r>
    </w:p>
    <w:bookmarkStart w:id="20" w:name="judicial-performance-evaluation"/>
    <w:p>
      <w:pPr>
        <w:pStyle w:val="Heading2"/>
      </w:pPr>
      <w:r>
        <w:t xml:space="preserve">Judicial Performance Evaluation</w:t>
      </w:r>
    </w:p>
    <w:p>
      <w:pPr>
        <w:pStyle w:val="FirstParagraph"/>
      </w:pPr>
      <w:r>
        <w:rPr>
          <w:bCs/>
          <w:b/>
        </w:rPr>
        <w:t xml:space="preserve">Subject:</w:t>
      </w:r>
      <w:r>
        <w:t xml:space="preserve"> </w:t>
      </w:r>
      <w:r>
        <w:t xml:space="preserve">Judge [Name Redacted for Confidentiality]</w:t>
      </w:r>
    </w:p>
    <w:p>
      <w:pPr>
        <w:pStyle w:val="BodyText"/>
      </w:pPr>
      <w:r>
        <w:rPr>
          <w:bCs/>
          <w:b/>
        </w:rPr>
        <w:t xml:space="preserve">Jurisdiction:</w:t>
      </w:r>
      <w:r>
        <w:t xml:space="preserve"> </w:t>
      </w:r>
      <w:r>
        <w:t xml:space="preserve">Tribunal Judiciaire de Marseille, France</w:t>
      </w:r>
    </w:p>
    <w:p>
      <w:pPr>
        <w:pStyle w:val="BodyText"/>
      </w:pPr>
      <w:r>
        <w:rPr>
          <w:bCs/>
          <w:b/>
        </w:rPr>
        <w:t xml:space="preserve">Review Period:</w:t>
      </w:r>
      <w:r>
        <w:t xml:space="preserve"> </w:t>
      </w:r>
      <w:r>
        <w:t xml:space="preserve">January 1, 2023 – December 31, 2023</w:t>
      </w:r>
    </w:p>
    <w:p>
      <w:pPr>
        <w:pStyle w:val="BodyText"/>
      </w:pPr>
      <w:r>
        <w:rPr>
          <w:bCs/>
          <w:b/>
        </w:rPr>
        <w:t xml:space="preserve">Date of Report:</w:t>
      </w:r>
      <w:r>
        <w:t xml:space="preserve"> </w:t>
      </w:r>
      <w:r>
        <w:t xml:space="preserve">March 15, 2024</w:t>
      </w:r>
    </w:p>
    <w:p>
      <w:pPr>
        <w:pStyle w:val="BodyText"/>
      </w:pPr>
      <w:r>
        <w:rPr>
          <w:bCs/>
          <w:b/>
        </w:rPr>
        <w:t xml:space="preserve">Reviewing Body:</w:t>
      </w:r>
      <w:r>
        <w:t xml:space="preserve"> </w:t>
      </w:r>
      <w:r>
        <w:t xml:space="preserve">Independent Judicial Peer Review Committee</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conduct, legal acumen, and administrative efficiency of the subject</w:t>
      </w:r>
      <w:r>
        <w:t xml:space="preserve"> </w:t>
      </w:r>
      <w:r>
        <w:rPr>
          <w:bCs/>
          <w:b/>
        </w:rPr>
        <w:t xml:space="preserve">Judge</w:t>
      </w:r>
      <w:r>
        <w:t xml:space="preserve"> </w:t>
      </w:r>
      <w:r>
        <w:t xml:space="preserve">serving within the judicial system of</w:t>
      </w:r>
      <w:r>
        <w:t xml:space="preserve"> </w:t>
      </w:r>
      <w:r>
        <w:rPr>
          <w:bCs/>
          <w:b/>
        </w:rPr>
        <w:t xml:space="preserve">France Marseille</w:t>
      </w:r>
      <w:r>
        <w:t xml:space="preserve">. The review was conducted in accordance with the ethical standards set forth by the Conseil Supérieur de la Magistrature (CSM) and local procedural guidelines specific to the Bouches-du-Rhône department.</w:t>
      </w:r>
    </w:p>
    <w:p>
      <w:pPr>
        <w:pStyle w:val="BodyText"/>
      </w:pPr>
      <w:r>
        <w:t xml:space="preserve">The primary objective of this evaluation is to ensure the maintenance of high judicial standards within the bustling and complex legal environment of Marseille. The</w:t>
      </w:r>
      <w:r>
        <w:t xml:space="preserve"> </w:t>
      </w:r>
      <w:r>
        <w:rPr>
          <w:bCs/>
          <w:b/>
        </w:rPr>
        <w:t xml:space="preserve">Judge</w:t>
      </w:r>
      <w:r>
        <w:t xml:space="preserve"> </w:t>
      </w:r>
      <w:r>
        <w:t xml:space="preserve">under review has demonstrated a strong commitment to the rule of law, exhibiting resilience in managing a high-volume docket characteristic of the region. While the overall performance is rated as satisfactory to excellent, specific areas regarding case management efficiency and cross-cultural communication have been identified for professional development.</w:t>
      </w:r>
    </w:p>
    <w:bookmarkEnd w:id="22"/>
    <w:bookmarkStart w:id="23" w:name="X33e18b74d8667659385598c9357c8c142c97405"/>
    <w:p>
      <w:pPr>
        <w:pStyle w:val="Heading2"/>
      </w:pPr>
      <w:r>
        <w:t xml:space="preserve">2. Contextual Background: The Marseille Jurisdiction</w:t>
      </w:r>
    </w:p>
    <w:p>
      <w:pPr>
        <w:pStyle w:val="FirstParagraph"/>
      </w:pPr>
      <w:r>
        <w:t xml:space="preserve">To accurately evaluate the</w:t>
      </w:r>
      <w:r>
        <w:t xml:space="preserve"> </w:t>
      </w:r>
      <w:r>
        <w:rPr>
          <w:bCs/>
          <w:b/>
        </w:rPr>
        <w:t xml:space="preserve">Judge</w:t>
      </w:r>
      <w:r>
        <w:t xml:space="preserve">, it is imperative to understand the unique challenges of practicing law in</w:t>
      </w:r>
      <w:r>
        <w:t xml:space="preserve"> </w:t>
      </w:r>
      <w:r>
        <w:rPr>
          <w:bCs/>
          <w:b/>
        </w:rPr>
        <w:t xml:space="preserve">France Marseille</w:t>
      </w:r>
      <w:r>
        <w:t xml:space="preserve">. As the second-largest city in France and a major Mediterranean port, Marseille presents a jurisdiction with distinct socio-economic and demographic complexities. The courts here frequently handle cases involving maritime law, international trade disputes, immigration matters, and urban criminality.</w:t>
      </w:r>
    </w:p>
    <w:p>
      <w:pPr>
        <w:pStyle w:val="BodyText"/>
      </w:pPr>
      <w:r>
        <w:t xml:space="preserve">The workload in the Tribunal Judiciaire de Marseille is historically high. Therefore, a</w:t>
      </w:r>
      <w:r>
        <w:t xml:space="preserve"> </w:t>
      </w:r>
      <w:r>
        <w:rPr>
          <w:bCs/>
          <w:b/>
        </w:rPr>
        <w:t xml:space="preserve">Peer Review Report</w:t>
      </w:r>
      <w:r>
        <w:t xml:space="preserve"> </w:t>
      </w:r>
      <w:r>
        <w:t xml:space="preserve">in this context must weigh the</w:t>
      </w:r>
      <w:r>
        <w:t xml:space="preserve"> </w:t>
      </w:r>
      <w:r>
        <w:rPr>
          <w:bCs/>
          <w:b/>
        </w:rPr>
        <w:t xml:space="preserve">Judge</w:t>
      </w:r>
      <w:r>
        <w:t xml:space="preserve">'s output against the sheer volume of litigation. The ability to navigate the specific procedural pressures of the Marseille courts while maintaining impartiality is a critical metric of success.</w:t>
      </w:r>
    </w:p>
    <w:bookmarkEnd w:id="23"/>
    <w:bookmarkStart w:id="24" w:name="evaluation-criteria-and-methodology"/>
    <w:p>
      <w:pPr>
        <w:pStyle w:val="Heading2"/>
      </w:pPr>
      <w:r>
        <w:t xml:space="preserve">3. Evaluation Criteria and Methodology</w:t>
      </w:r>
    </w:p>
    <w:p>
      <w:pPr>
        <w:pStyle w:val="FirstParagraph"/>
      </w:pPr>
      <w:r>
        <w:t xml:space="preserve">This review utilized a multi-faceted approach, including the analysis of written judgments, observation of courtroom proceedings, and confidential feedback from legal peers, including prosecutors and defense attorneys operating in</w:t>
      </w:r>
      <w:r>
        <w:t xml:space="preserve"> </w:t>
      </w:r>
      <w:r>
        <w:rPr>
          <w:bCs/>
          <w:b/>
        </w:rPr>
        <w:t xml:space="preserve">France Marseille</w:t>
      </w:r>
      <w:r>
        <w:t xml:space="preserve">. The evaluation focused on four core pillars:</w:t>
      </w:r>
    </w:p>
    <w:p>
      <w:pPr>
        <w:numPr>
          <w:ilvl w:val="0"/>
          <w:numId w:val="1001"/>
        </w:numPr>
        <w:pStyle w:val="Compact"/>
      </w:pPr>
      <w:r>
        <w:rPr>
          <w:bCs/>
          <w:b/>
        </w:rPr>
        <w:t xml:space="preserve">Legal Competence:</w:t>
      </w:r>
      <w:r>
        <w:t xml:space="preserve"> </w:t>
      </w:r>
      <w:r>
        <w:t xml:space="preserve">Accuracy of legal reasoning and application of French Civil and Penal Codes.</w:t>
      </w:r>
    </w:p>
    <w:p>
      <w:pPr>
        <w:numPr>
          <w:ilvl w:val="0"/>
          <w:numId w:val="1001"/>
        </w:numPr>
        <w:pStyle w:val="Compact"/>
      </w:pPr>
      <w:r>
        <w:rPr>
          <w:bCs/>
          <w:b/>
        </w:rPr>
        <w:t xml:space="preserve">Impartiality and Ethics:</w:t>
      </w:r>
      <w:r>
        <w:t xml:space="preserve"> </w:t>
      </w:r>
      <w:r>
        <w:t xml:space="preserve">Adherence to judicial neutrality and ethical standards.</w:t>
      </w:r>
    </w:p>
    <w:p>
      <w:pPr>
        <w:numPr>
          <w:ilvl w:val="0"/>
          <w:numId w:val="1001"/>
        </w:numPr>
        <w:pStyle w:val="Compact"/>
      </w:pPr>
      <w:r>
        <w:rPr>
          <w:bCs/>
          <w:b/>
        </w:rPr>
        <w:t xml:space="preserve">Courtroom Management:</w:t>
      </w:r>
      <w:r>
        <w:t xml:space="preserve"> </w:t>
      </w:r>
      <w:r>
        <w:t xml:space="preserve">Control of proceedings and treatment of litigants.</w:t>
      </w:r>
    </w:p>
    <w:p>
      <w:pPr>
        <w:numPr>
          <w:ilvl w:val="0"/>
          <w:numId w:val="1001"/>
        </w:numPr>
        <w:pStyle w:val="Compact"/>
      </w:pPr>
      <w:r>
        <w:rPr>
          <w:bCs/>
          <w:b/>
        </w:rPr>
        <w:t xml:space="preserve">Efficiency:</w:t>
      </w:r>
      <w:r>
        <w:t xml:space="preserve"> </w:t>
      </w:r>
      <w:r>
        <w:t xml:space="preserve">Timeliness of rulings and docket management.</w:t>
      </w:r>
    </w:p>
    <w:bookmarkEnd w:id="24"/>
    <w:bookmarkStart w:id="29" w:name="detailed-findings"/>
    <w:p>
      <w:pPr>
        <w:pStyle w:val="Heading2"/>
      </w:pPr>
      <w:r>
        <w:t xml:space="preserve">4. Detailed Findings</w:t>
      </w:r>
    </w:p>
    <w:bookmarkStart w:id="25" w:name="legal-competence-and-reasoning"/>
    <w:p>
      <w:pPr>
        <w:pStyle w:val="Heading3"/>
      </w:pPr>
      <w:r>
        <w:t xml:space="preserve">4.1 Legal Competence and Reasoning</w:t>
      </w:r>
    </w:p>
    <w:p>
      <w:pPr>
        <w:pStyle w:val="FirstParagraph"/>
      </w:pPr>
      <w:r>
        <w:t xml:space="preserve">The</w:t>
      </w:r>
      <w:r>
        <w:t xml:space="preserve"> </w:t>
      </w:r>
      <w:r>
        <w:rPr>
          <w:bCs/>
          <w:b/>
        </w:rPr>
        <w:t xml:space="preserve">Judge</w:t>
      </w:r>
      <w:r>
        <w:t xml:space="preserve"> </w:t>
      </w:r>
      <w:r>
        <w:t xml:space="preserve">has displayed a profound understanding of the French legal framework. In a sample of 50 reviewed judgments, the legal reasoning was found to be sound, well-structured, and consistent with precedents established by the Cour de Cassation. The</w:t>
      </w:r>
      <w:r>
        <w:t xml:space="preserve"> </w:t>
      </w:r>
      <w:r>
        <w:rPr>
          <w:bCs/>
          <w:b/>
        </w:rPr>
        <w:t xml:space="preserve">Judge</w:t>
      </w:r>
      <w:r>
        <w:t xml:space="preserve"> </w:t>
      </w:r>
      <w:r>
        <w:t xml:space="preserve">effectively navigated complex statutory interpretations, particularly in cases involving commercial disputes common in the Marseille port authority. The written opinions are clear, reducing the likelihood of appeals based on procedural errors.</w:t>
      </w:r>
    </w:p>
    <w:bookmarkEnd w:id="25"/>
    <w:bookmarkStart w:id="26" w:name="impartiality-and-judicial-conduct"/>
    <w:p>
      <w:pPr>
        <w:pStyle w:val="Heading3"/>
      </w:pPr>
      <w:r>
        <w:t xml:space="preserve">4.2 Impartiality and Judicial Conduct</w:t>
      </w:r>
    </w:p>
    <w:p>
      <w:pPr>
        <w:pStyle w:val="FirstParagraph"/>
      </w:pPr>
      <w:r>
        <w:t xml:space="preserve">A cornerstone of any</w:t>
      </w:r>
      <w:r>
        <w:t xml:space="preserve"> </w:t>
      </w:r>
      <w:r>
        <w:rPr>
          <w:bCs/>
          <w:b/>
        </w:rPr>
        <w:t xml:space="preserve">Peer Review Report</w:t>
      </w:r>
      <w:r>
        <w:t xml:space="preserve"> </w:t>
      </w:r>
      <w:r>
        <w:t xml:space="preserve">is the assessment of bias. The</w:t>
      </w:r>
      <w:r>
        <w:t xml:space="preserve"> </w:t>
      </w:r>
      <w:r>
        <w:rPr>
          <w:bCs/>
          <w:b/>
        </w:rPr>
        <w:t xml:space="preserve">Judge</w:t>
      </w:r>
      <w:r>
        <w:t xml:space="preserve"> </w:t>
      </w:r>
      <w:r>
        <w:t xml:space="preserve">has maintained a reputation for strict impartiality. In the diverse cultural landscape of</w:t>
      </w:r>
      <w:r>
        <w:t xml:space="preserve"> </w:t>
      </w:r>
      <w:r>
        <w:rPr>
          <w:bCs/>
          <w:b/>
        </w:rPr>
        <w:t xml:space="preserve">France Marseille</w:t>
      </w:r>
      <w:r>
        <w:t xml:space="preserve">, where cases often involve parties from varied linguistic and cultural backgrounds, the</w:t>
      </w:r>
      <w:r>
        <w:t xml:space="preserve"> </w:t>
      </w:r>
      <w:r>
        <w:rPr>
          <w:bCs/>
          <w:b/>
        </w:rPr>
        <w:t xml:space="preserve">Judge</w:t>
      </w:r>
      <w:r>
        <w:t xml:space="preserve"> </w:t>
      </w:r>
      <w:r>
        <w:t xml:space="preserve">has shown commendable cultural sensitivity without compromising legal objectivity. No complaints regarding bias or ethical breaches were recorded during the review period.</w:t>
      </w:r>
    </w:p>
    <w:bookmarkEnd w:id="26"/>
    <w:bookmarkStart w:id="27" w:name="courtroom-demeanor"/>
    <w:p>
      <w:pPr>
        <w:pStyle w:val="Heading3"/>
      </w:pPr>
      <w:r>
        <w:t xml:space="preserve">4.3 Courtroom Demeanor</w:t>
      </w:r>
    </w:p>
    <w:p>
      <w:pPr>
        <w:pStyle w:val="FirstParagraph"/>
      </w:pPr>
      <w:r>
        <w:t xml:space="preserve">Observations indicate that the</w:t>
      </w:r>
      <w:r>
        <w:t xml:space="preserve"> </w:t>
      </w:r>
      <w:r>
        <w:rPr>
          <w:bCs/>
          <w:b/>
        </w:rPr>
        <w:t xml:space="preserve">Judge</w:t>
      </w:r>
      <w:r>
        <w:t xml:space="preserve"> </w:t>
      </w:r>
      <w:r>
        <w:t xml:space="preserve">commands respect in the courtroom. The demeanor is professional, firm, and courteous. The</w:t>
      </w:r>
      <w:r>
        <w:t xml:space="preserve"> </w:t>
      </w:r>
      <w:r>
        <w:rPr>
          <w:bCs/>
          <w:b/>
        </w:rPr>
        <w:t xml:space="preserve">Judge</w:t>
      </w:r>
      <w:r>
        <w:t xml:space="preserve"> </w:t>
      </w:r>
      <w:r>
        <w:t xml:space="preserve">ensures that all parties, including self-represented litigants who are frequent in Marseille's civil courts, are given an opportunity to be heard. However, peers noted that in high-stress criminal hearings, the</w:t>
      </w:r>
      <w:r>
        <w:t xml:space="preserve"> </w:t>
      </w:r>
      <w:r>
        <w:rPr>
          <w:bCs/>
          <w:b/>
        </w:rPr>
        <w:t xml:space="preserve">Judge</w:t>
      </w:r>
      <w:r>
        <w:t xml:space="preserve"> </w:t>
      </w:r>
      <w:r>
        <w:t xml:space="preserve">occasionally exhibits signs of impatience, which, while not affecting the outcome, can impact the perceived fairness of the process.</w:t>
      </w:r>
    </w:p>
    <w:bookmarkEnd w:id="27"/>
    <w:bookmarkStart w:id="28" w:name="efficiency-and-case-management"/>
    <w:p>
      <w:pPr>
        <w:pStyle w:val="Heading3"/>
      </w:pPr>
      <w:r>
        <w:t xml:space="preserve">4.4 Efficiency and Case Management</w:t>
      </w:r>
    </w:p>
    <w:p>
      <w:pPr>
        <w:pStyle w:val="FirstParagraph"/>
      </w:pPr>
      <w:r>
        <w:t xml:space="preserve">Given the backlog issues prevalent in many French courts, efficiency is paramount. The</w:t>
      </w:r>
      <w:r>
        <w:t xml:space="preserve"> </w:t>
      </w:r>
      <w:r>
        <w:rPr>
          <w:bCs/>
          <w:b/>
        </w:rPr>
        <w:t xml:space="preserve">Judge</w:t>
      </w:r>
      <w:r>
        <w:t xml:space="preserve"> </w:t>
      </w:r>
      <w:r>
        <w:t xml:space="preserve">has successfully cleared 92% of assigned cases within the statutory time limits, a figure that exceeds the average for the Marseille tribunal. The use of digital case management tools has been effective. However, the</w:t>
      </w:r>
      <w:r>
        <w:t xml:space="preserve"> </w:t>
      </w:r>
      <w:r>
        <w:rPr>
          <w:bCs/>
          <w:b/>
        </w:rPr>
        <w:t xml:space="preserve">Peer Review Report</w:t>
      </w:r>
      <w:r>
        <w:t xml:space="preserve"> </w:t>
      </w:r>
      <w:r>
        <w:t xml:space="preserve">notes that the length of some written judgments could be streamlined to further enhance efficiency without sacrificing quality.</w:t>
      </w:r>
    </w:p>
    <w:bookmarkEnd w:id="28"/>
    <w:bookmarkEnd w:id="29"/>
    <w:bookmarkStart w:id="30" w:name="quantitative-assessment"/>
    <w:p>
      <w:pPr>
        <w:pStyle w:val="Heading2"/>
      </w:pPr>
      <w:r>
        <w:t xml:space="preserve">5. Quantitative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Legal Knowledge</w:t>
            </w:r>
          </w:p>
        </w:tc>
        <w:tc>
          <w:tcPr/>
          <w:p>
            <w:pPr>
              <w:pStyle w:val="Compact"/>
              <w:jc w:val="left"/>
            </w:pPr>
            <w:r>
              <w:t xml:space="preserve">5</w:t>
            </w:r>
          </w:p>
        </w:tc>
        <w:tc>
          <w:tcPr/>
          <w:p>
            <w:pPr>
              <w:pStyle w:val="Compact"/>
              <w:jc w:val="left"/>
            </w:pPr>
            <w:r>
              <w:t xml:space="preserve">Exceptional command of law.</w:t>
            </w:r>
          </w:p>
        </w:tc>
      </w:tr>
      <w:tr>
        <w:tc>
          <w:tcPr/>
          <w:p>
            <w:pPr>
              <w:pStyle w:val="Compact"/>
              <w:jc w:val="left"/>
            </w:pPr>
            <w:r>
              <w:t xml:space="preserve">Impartiality</w:t>
            </w:r>
          </w:p>
        </w:tc>
        <w:tc>
          <w:tcPr/>
          <w:p>
            <w:pPr>
              <w:pStyle w:val="Compact"/>
              <w:jc w:val="left"/>
            </w:pPr>
            <w:r>
              <w:t xml:space="preserve">5</w:t>
            </w:r>
          </w:p>
        </w:tc>
        <w:tc>
          <w:tcPr/>
          <w:p>
            <w:pPr>
              <w:pStyle w:val="Compact"/>
              <w:jc w:val="left"/>
            </w:pPr>
            <w:r>
              <w:t xml:space="preserve">No evidence of bias.</w:t>
            </w:r>
          </w:p>
        </w:tc>
      </w:tr>
      <w:tr>
        <w:tc>
          <w:tcPr/>
          <w:p>
            <w:pPr>
              <w:pStyle w:val="Compact"/>
              <w:jc w:val="left"/>
            </w:pPr>
            <w:r>
              <w:t xml:space="preserve">Courtroom Management</w:t>
            </w:r>
          </w:p>
        </w:tc>
        <w:tc>
          <w:tcPr/>
          <w:p>
            <w:pPr>
              <w:pStyle w:val="Compact"/>
              <w:jc w:val="left"/>
            </w:pPr>
            <w:r>
              <w:t xml:space="preserve">4</w:t>
            </w:r>
          </w:p>
        </w:tc>
        <w:tc>
          <w:tcPr/>
          <w:p>
            <w:pPr>
              <w:pStyle w:val="Compact"/>
              <w:jc w:val="left"/>
            </w:pPr>
            <w:r>
              <w:t xml:space="preserve">Generally excellent; minor issues with patience.</w:t>
            </w:r>
          </w:p>
        </w:tc>
      </w:tr>
      <w:tr>
        <w:tc>
          <w:tcPr/>
          <w:p>
            <w:pPr>
              <w:pStyle w:val="Compact"/>
              <w:jc w:val="left"/>
            </w:pPr>
            <w:r>
              <w:t xml:space="preserve">Efficiency</w:t>
            </w:r>
          </w:p>
        </w:tc>
        <w:tc>
          <w:tcPr/>
          <w:p>
            <w:pPr>
              <w:pStyle w:val="Compact"/>
              <w:jc w:val="left"/>
            </w:pPr>
            <w:r>
              <w:t xml:space="preserve">5</w:t>
            </w:r>
          </w:p>
        </w:tc>
        <w:tc>
          <w:tcPr/>
          <w:p>
            <w:pPr>
              <w:pStyle w:val="Compact"/>
              <w:jc w:val="left"/>
            </w:pPr>
            <w:r>
              <w:t xml:space="preserve">High clearance rate relative to Marseille workload.</w:t>
            </w:r>
          </w:p>
        </w:tc>
      </w:tr>
      <w:tr>
        <w:tc>
          <w:tcPr/>
          <w:p>
            <w:pPr>
              <w:pStyle w:val="Compact"/>
              <w:jc w:val="left"/>
            </w:pPr>
            <w:r>
              <w:t xml:space="preserve">Communication Skills</w:t>
            </w:r>
          </w:p>
        </w:tc>
        <w:tc>
          <w:tcPr/>
          <w:p>
            <w:pPr>
              <w:pStyle w:val="Compact"/>
              <w:jc w:val="left"/>
            </w:pPr>
            <w:r>
              <w:t xml:space="preserve">4</w:t>
            </w:r>
          </w:p>
        </w:tc>
        <w:tc>
          <w:tcPr/>
          <w:p>
            <w:pPr>
              <w:pStyle w:val="Compact"/>
              <w:jc w:val="left"/>
            </w:pPr>
            <w:r>
              <w:t xml:space="preserve">Clear rulings; could improve accessibility for laypersons.</w:t>
            </w:r>
          </w:p>
        </w:tc>
      </w:tr>
    </w:tbl>
    <w:bookmarkEnd w:id="30"/>
    <w:bookmarkStart w:id="31"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Judge</w:t>
      </w:r>
      <w:r>
        <w:t xml:space="preserve">:</w:t>
      </w:r>
    </w:p>
    <w:p>
      <w:pPr>
        <w:numPr>
          <w:ilvl w:val="0"/>
          <w:numId w:val="1002"/>
        </w:numPr>
        <w:pStyle w:val="Compact"/>
      </w:pPr>
      <w:r>
        <w:rPr>
          <w:bCs/>
          <w:b/>
        </w:rPr>
        <w:t xml:space="preserve">Continuing Legal Education:</w:t>
      </w:r>
      <w:r>
        <w:t xml:space="preserve"> </w:t>
      </w:r>
      <w:r>
        <w:t xml:space="preserve">While legal knowledge is strong, attending specialized seminars on international maritime law would further enhance expertise relevant to the</w:t>
      </w:r>
      <w:r>
        <w:t xml:space="preserve"> </w:t>
      </w:r>
      <w:r>
        <w:rPr>
          <w:bCs/>
          <w:b/>
        </w:rPr>
        <w:t xml:space="preserve">France Marseille</w:t>
      </w:r>
      <w:r>
        <w:t xml:space="preserve"> </w:t>
      </w:r>
      <w:r>
        <w:t xml:space="preserve">jurisdiction.</w:t>
      </w:r>
    </w:p>
    <w:p>
      <w:pPr>
        <w:numPr>
          <w:ilvl w:val="0"/>
          <w:numId w:val="1002"/>
        </w:numPr>
        <w:pStyle w:val="Compact"/>
      </w:pPr>
      <w:r>
        <w:rPr>
          <w:bCs/>
          <w:b/>
        </w:rPr>
        <w:t xml:space="preserve">Stress Management Training:</w:t>
      </w:r>
      <w:r>
        <w:t xml:space="preserve"> </w:t>
      </w:r>
      <w:r>
        <w:t xml:space="preserve">To address the minor issues regarding courtroom demeanor, participation in workshops on judicial stress management and emotional intelligence is recommended.</w:t>
      </w:r>
    </w:p>
    <w:p>
      <w:pPr>
        <w:numPr>
          <w:ilvl w:val="0"/>
          <w:numId w:val="1002"/>
        </w:numPr>
        <w:pStyle w:val="Compact"/>
      </w:pPr>
      <w:r>
        <w:rPr>
          <w:bCs/>
          <w:b/>
        </w:rPr>
        <w:t xml:space="preserve">Procedural Streamlining:</w:t>
      </w:r>
      <w:r>
        <w:t xml:space="preserve"> </w:t>
      </w:r>
      <w:r>
        <w:t xml:space="preserve">The</w:t>
      </w:r>
      <w:r>
        <w:t xml:space="preserve"> </w:t>
      </w:r>
      <w:r>
        <w:rPr>
          <w:bCs/>
          <w:b/>
        </w:rPr>
        <w:t xml:space="preserve">Judge</w:t>
      </w:r>
      <w:r>
        <w:t xml:space="preserve"> </w:t>
      </w:r>
      <w:r>
        <w:t xml:space="preserve">is encouraged to adopt more concise drafting techniques for routine matters to alleviate the systemic pressure on the Marseille courts.</w:t>
      </w:r>
    </w:p>
    <w:bookmarkEnd w:id="31"/>
    <w:bookmarkStart w:id="32"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Judge</w:t>
      </w:r>
      <w:r>
        <w:t xml:space="preserve"> </w:t>
      </w:r>
      <w:r>
        <w:t xml:space="preserve">is a highly competent and ethical officer of the court. The</w:t>
      </w:r>
      <w:r>
        <w:t xml:space="preserve"> </w:t>
      </w:r>
      <w:r>
        <w:rPr>
          <w:bCs/>
          <w:b/>
        </w:rPr>
        <w:t xml:space="preserve">Judge</w:t>
      </w:r>
      <w:r>
        <w:t xml:space="preserve"> </w:t>
      </w:r>
      <w:r>
        <w:t xml:space="preserve">plays a vital role in upholding the integrity of the judicial system in</w:t>
      </w:r>
      <w:r>
        <w:t xml:space="preserve"> </w:t>
      </w:r>
      <w:r>
        <w:rPr>
          <w:bCs/>
          <w:b/>
        </w:rPr>
        <w:t xml:space="preserve">France Marseille</w:t>
      </w:r>
      <w:r>
        <w:t xml:space="preserve">. The minor areas for improvement identified are standard professional development opportunities rather than deficiencies. The</w:t>
      </w:r>
      <w:r>
        <w:t xml:space="preserve"> </w:t>
      </w:r>
      <w:r>
        <w:rPr>
          <w:bCs/>
          <w:b/>
        </w:rPr>
        <w:t xml:space="preserve">Judge</w:t>
      </w:r>
      <w:r>
        <w:t xml:space="preserve"> </w:t>
      </w:r>
      <w:r>
        <w:t xml:space="preserve">is well-suited to their current role and is recommended for continued service and potential leadership responsibilities within the tribunal.</w:t>
      </w:r>
    </w:p>
    <w:bookmarkEnd w:id="32"/>
    <w:p>
      <w:pPr>
        <w:pStyle w:val="BodyText"/>
      </w:pPr>
      <w:r>
        <w:rPr>
          <w:bCs/>
          <w:b/>
        </w:rPr>
        <w:t xml:space="preserve">Disclaimer:</w:t>
      </w:r>
      <w:r>
        <w:t xml:space="preserve"> </w:t>
      </w:r>
      <w:r>
        <w:t xml:space="preserve">This document is a simulated Peer Review Report generated for demonstration purposes. It does not reflect the actual performance of any specific individual. All names and specific case details have been generalized.</w:t>
      </w:r>
    </w:p>
    <w:p>
      <w:pPr>
        <w:pStyle w:val="BodyText"/>
      </w:pPr>
      <w:r>
        <w:t xml:space="preserve">© 2024 Judicial Peer Review Committee Simulation.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 Marseille, France</dc:title>
  <dc:creator/>
  <dc:language>en</dc:language>
  <cp:keywords/>
  <dcterms:created xsi:type="dcterms:W3CDTF">2026-10-10T07:08:47Z</dcterms:created>
  <dcterms:modified xsi:type="dcterms:W3CDTF">2026-10-10T07:08:47Z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