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Confidential Judicial Evaluation Document</w:t>
      </w:r>
    </w:p>
    <w:p>
      <w:pPr>
        <w:pStyle w:val="BodyText"/>
      </w:pPr>
      <w:r>
        <w:rPr>
          <w:bCs/>
          <w:b/>
        </w:rPr>
        <w:t xml:space="preserve">Date of Report:</w:t>
      </w:r>
      <w:r>
        <w:t xml:space="preserve"> </w:t>
      </w:r>
      <w:r>
        <w:t xml:space="preserve">October 24, 2023</w:t>
      </w:r>
    </w:p>
    <w:p>
      <w:pPr>
        <w:pStyle w:val="BodyText"/>
      </w:pPr>
      <w:r>
        <w:rPr>
          <w:bCs/>
          <w:b/>
        </w:rPr>
        <w:t xml:space="preserve">Jurisdiction:</w:t>
      </w:r>
      <w:r>
        <w:t xml:space="preserve"> </w:t>
      </w:r>
      <w:r>
        <w:t xml:space="preserve">France Paris (Tribunal Judiciaire de Paris)</w:t>
      </w:r>
    </w:p>
    <w:p>
      <w:pPr>
        <w:pStyle w:val="BodyText"/>
      </w:pPr>
      <w:r>
        <w:rPr>
          <w:bCs/>
          <w:b/>
        </w:rPr>
        <w:t xml:space="preserve">Subject Role:</w:t>
      </w:r>
      <w:r>
        <w:t xml:space="preserve"> </w:t>
      </w:r>
      <w:r>
        <w:t xml:space="preserve">Judge (Magistrat du Siège)</w:t>
      </w:r>
    </w:p>
    <w:p>
      <w:pPr>
        <w:pStyle w:val="BodyText"/>
      </w:pPr>
      <w:r>
        <w:rPr>
          <w:bCs/>
          <w:b/>
        </w:rPr>
        <w:t xml:space="preserve">Review Period:</w:t>
      </w:r>
      <w:r>
        <w:t xml:space="preserve"> </w:t>
      </w:r>
      <w:r>
        <w:t xml:space="preserve">January 2022 – December 2022</w:t>
      </w:r>
    </w:p>
    <w:p>
      <w:pPr>
        <w:pStyle w:val="BodyText"/>
      </w:pPr>
      <w:r>
        <w:rPr>
          <w:bCs/>
          <w:b/>
        </w:rPr>
        <w:t xml:space="preserve">Review Panel:</w:t>
      </w:r>
      <w:r>
        <w:t xml:space="preserve"> </w:t>
      </w:r>
      <w:r>
        <w:t xml:space="preserve">High Council of the Judiciary (CSM) Peer Committee</w:t>
      </w:r>
    </w:p>
    <w:p>
      <w:pPr>
        <w:pStyle w:val="BodyText"/>
      </w:pPr>
      <w:r>
        <w:rPr>
          <w:bCs/>
          <w:b/>
        </w:rPr>
        <w:t xml:space="preserve">Reference ID:</w:t>
      </w:r>
      <w:r>
        <w:t xml:space="preserve"> </w:t>
      </w:r>
      <w:r>
        <w:t xml:space="preserve">FR-PAR-JDG-2023-884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constitutes a formal assessment of the professional conduct, judicial reasoning, and administrative efficiency of a sitting</w:t>
      </w:r>
      <w:r>
        <w:t xml:space="preserve"> </w:t>
      </w:r>
      <w:r>
        <w:rPr>
          <w:bCs/>
          <w:b/>
        </w:rPr>
        <w:t xml:space="preserve">Judge</w:t>
      </w:r>
      <w:r>
        <w:t xml:space="preserve"> </w:t>
      </w:r>
      <w:r>
        <w:t xml:space="preserve">within the judicial district of</w:t>
      </w:r>
      <w:r>
        <w:t xml:space="preserve"> </w:t>
      </w:r>
      <w:r>
        <w:rPr>
          <w:bCs/>
          <w:b/>
        </w:rPr>
        <w:t xml:space="preserve">France Paris</w:t>
      </w:r>
      <w:r>
        <w:t xml:space="preserve">. The evaluation is conducted in accordance with the ethical standards set forth by the High Council of the Judiciary (Conseil supérieur de la magistrature) and the Code of Judicial Ethics. The primary objective of this review is to ensure the maintenance of the highest standards of justice, impartiality, and procedural rigor within one of the world's most complex legal environments.</w:t>
      </w:r>
    </w:p>
    <w:p>
      <w:pPr>
        <w:pStyle w:val="BodyText"/>
      </w:pPr>
      <w:r>
        <w:t xml:space="preserve">The subject</w:t>
      </w:r>
      <w:r>
        <w:t xml:space="preserve"> </w:t>
      </w:r>
      <w:r>
        <w:rPr>
          <w:bCs/>
          <w:b/>
        </w:rPr>
        <w:t xml:space="preserve">Judge</w:t>
      </w:r>
      <w:r>
        <w:t xml:space="preserve"> </w:t>
      </w:r>
      <w:r>
        <w:t xml:space="preserve">has demonstrated a commendable level of legal acumen and dedication to the rule of law. However, this report identifies specific areas regarding case management and the application of procedural timelines that require attention to align fully with the operational expectations of the Parisian courts.</w:t>
      </w:r>
    </w:p>
    <w:bookmarkEnd w:id="21"/>
    <w:bookmarkStart w:id="22" w:name="context-and-methodology"/>
    <w:p>
      <w:pPr>
        <w:pStyle w:val="Heading2"/>
      </w:pPr>
      <w:r>
        <w:t xml:space="preserve">2. Context and Methodology</w:t>
      </w:r>
    </w:p>
    <w:p>
      <w:pPr>
        <w:pStyle w:val="FirstParagraph"/>
      </w:pPr>
      <w:r>
        <w:t xml:space="preserve">The judicial landscape in</w:t>
      </w:r>
      <w:r>
        <w:t xml:space="preserve"> </w:t>
      </w:r>
      <w:r>
        <w:rPr>
          <w:bCs/>
          <w:b/>
        </w:rPr>
        <w:t xml:space="preserve">France Paris</w:t>
      </w:r>
      <w:r>
        <w:t xml:space="preserve"> </w:t>
      </w:r>
      <w:r>
        <w:t xml:space="preserve">is characterized by an exceptionally high volume of litigation, ranging from complex commercial disputes to sensitive criminal matters. Consequently, the role of a</w:t>
      </w:r>
      <w:r>
        <w:t xml:space="preserve"> </w:t>
      </w:r>
      <w:r>
        <w:rPr>
          <w:bCs/>
          <w:b/>
        </w:rPr>
        <w:t xml:space="preserve">Judge</w:t>
      </w:r>
      <w:r>
        <w:t xml:space="preserve"> </w:t>
      </w:r>
      <w:r>
        <w:t xml:space="preserve">here demands not only profound legal knowledge but also exceptional organizational skills. This</w:t>
      </w:r>
      <w:r>
        <w:t xml:space="preserve"> </w:t>
      </w:r>
      <w:r>
        <w:rPr>
          <w:bCs/>
          <w:b/>
        </w:rPr>
        <w:t xml:space="preserve">Peer Review Report</w:t>
      </w:r>
      <w:r>
        <w:t xml:space="preserve"> </w:t>
      </w:r>
      <w:r>
        <w:t xml:space="preserve">was compiled through a multi-faceted methodology, including:</w:t>
      </w:r>
    </w:p>
    <w:p>
      <w:pPr>
        <w:numPr>
          <w:ilvl w:val="0"/>
          <w:numId w:val="1001"/>
        </w:numPr>
        <w:pStyle w:val="Compact"/>
      </w:pPr>
      <w:r>
        <w:t xml:space="preserve">Audit of 50 randomly selected judgments rendered during the review period.</w:t>
      </w:r>
    </w:p>
    <w:p>
      <w:pPr>
        <w:numPr>
          <w:ilvl w:val="0"/>
          <w:numId w:val="1001"/>
        </w:numPr>
        <w:pStyle w:val="Compact"/>
      </w:pPr>
      <w:r>
        <w:t xml:space="preserve">Observation of courtroom proceedings and interaction with legal counsel.</w:t>
      </w:r>
    </w:p>
    <w:p>
      <w:pPr>
        <w:numPr>
          <w:ilvl w:val="0"/>
          <w:numId w:val="1001"/>
        </w:numPr>
        <w:pStyle w:val="Compact"/>
      </w:pPr>
      <w:r>
        <w:t xml:space="preserve">Feedback from clerks, court administrators, and opposing counsel (anonymized).</w:t>
      </w:r>
    </w:p>
    <w:p>
      <w:pPr>
        <w:numPr>
          <w:ilvl w:val="0"/>
          <w:numId w:val="1001"/>
        </w:numPr>
        <w:pStyle w:val="Compact"/>
      </w:pPr>
      <w:r>
        <w:t xml:space="preserve">Analysis of case disposition rates compared to the national average for the</w:t>
      </w:r>
      <w:r>
        <w:t xml:space="preserve"> </w:t>
      </w:r>
      <w:r>
        <w:rPr>
          <w:bCs/>
          <w:b/>
        </w:rPr>
        <w:t xml:space="preserve">France Paris</w:t>
      </w:r>
      <w:r>
        <w:t xml:space="preserve"> </w:t>
      </w:r>
      <w:r>
        <w:t xml:space="preserve">jurisdiction.</w:t>
      </w:r>
    </w:p>
    <w:bookmarkEnd w:id="22"/>
    <w:bookmarkStart w:id="23" w:name="X19c73208f5477bec2a795b39f3288cf6d5af48f"/>
    <w:p>
      <w:pPr>
        <w:pStyle w:val="Heading2"/>
      </w:pPr>
      <w:r>
        <w:t xml:space="preserve">3. Assessment of Judicial Reasoning and Legal Competence</w:t>
      </w:r>
    </w:p>
    <w:p>
      <w:pPr>
        <w:pStyle w:val="FirstParagraph"/>
      </w:pPr>
      <w:r>
        <w:t xml:space="preserve">The core function of a</w:t>
      </w:r>
      <w:r>
        <w:t xml:space="preserve"> </w:t>
      </w:r>
      <w:r>
        <w:rPr>
          <w:bCs/>
          <w:b/>
        </w:rPr>
        <w:t xml:space="preserve">Judge</w:t>
      </w:r>
      <w:r>
        <w:t xml:space="preserve"> </w:t>
      </w:r>
      <w:r>
        <w:t xml:space="preserve">is the accurate application of law to fact. In this regard, the subject has performed admirably. The written judgments reviewed for this</w:t>
      </w:r>
      <w:r>
        <w:t xml:space="preserve"> </w:t>
      </w:r>
      <w:r>
        <w:rPr>
          <w:bCs/>
          <w:b/>
        </w:rPr>
        <w:t xml:space="preserve">Peer Review Report</w:t>
      </w:r>
      <w:r>
        <w:t xml:space="preserve"> </w:t>
      </w:r>
      <w:r>
        <w:t xml:space="preserve">exhibit a sophisticated understanding of both domestic French law and relevant European Union regulations. The reasoning provided is generally clear, logically structured, and sufficiently detailed to allow the parties to understand the basis of the decision.</w:t>
      </w:r>
    </w:p>
    <w:p>
      <w:pPr>
        <w:pStyle w:val="BodyText"/>
      </w:pPr>
      <w:r>
        <w:t xml:space="preserve">Specifically, in civil matters concerning contract law, the</w:t>
      </w:r>
      <w:r>
        <w:t xml:space="preserve"> </w:t>
      </w:r>
      <w:r>
        <w:rPr>
          <w:bCs/>
          <w:b/>
        </w:rPr>
        <w:t xml:space="preserve">Judge</w:t>
      </w:r>
      <w:r>
        <w:t xml:space="preserve"> </w:t>
      </w:r>
      <w:r>
        <w:t xml:space="preserve">demonstrated a nuanced ability to interpret ambiguous clauses in a manner consistent with the intent of the parties, a skill highly valued in the commercial hub of</w:t>
      </w:r>
      <w:r>
        <w:t xml:space="preserve"> </w:t>
      </w:r>
      <w:r>
        <w:rPr>
          <w:bCs/>
          <w:b/>
        </w:rPr>
        <w:t xml:space="preserve">France Paris</w:t>
      </w:r>
      <w:r>
        <w:t xml:space="preserve">. The citations to precedent were accurate, and the distinction between binding jurisprudence and persuasive authority was handled with precision.</w:t>
      </w:r>
    </w:p>
    <w:bookmarkEnd w:id="23"/>
    <w:bookmarkStart w:id="24" w:name="impartiality-and-ethical-conduct"/>
    <w:p>
      <w:pPr>
        <w:pStyle w:val="Heading2"/>
      </w:pPr>
      <w:r>
        <w:t xml:space="preserve">4. Impartiality and Ethical Conduct</w:t>
      </w:r>
    </w:p>
    <w:p>
      <w:pPr>
        <w:pStyle w:val="FirstParagraph"/>
      </w:pPr>
      <w:r>
        <w:t xml:space="preserve">Impartiality is the cornerstone of the judiciary.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has maintained strict adherence to ethical guidelines. There were no recorded instances of bias, conflict of interest, or ex parte communications that would compromise the integrity of the proceedings.</w:t>
      </w:r>
    </w:p>
    <w:p>
      <w:pPr>
        <w:pStyle w:val="BodyText"/>
      </w:pPr>
      <w:r>
        <w:t xml:space="preserve">During observed hearings in</w:t>
      </w:r>
      <w:r>
        <w:t xml:space="preserve"> </w:t>
      </w:r>
      <w:r>
        <w:rPr>
          <w:bCs/>
          <w:b/>
        </w:rPr>
        <w:t xml:space="preserve">France Paris</w:t>
      </w:r>
      <w:r>
        <w:t xml:space="preserve">, the</w:t>
      </w:r>
      <w:r>
        <w:t xml:space="preserve"> </w:t>
      </w:r>
      <w:r>
        <w:rPr>
          <w:bCs/>
          <w:b/>
        </w:rPr>
        <w:t xml:space="preserve">Judge</w:t>
      </w:r>
      <w:r>
        <w:t xml:space="preserve"> </w:t>
      </w:r>
      <w:r>
        <w:t xml:space="preserve">treated all parties with dignity and respect, regardless of their representation status or background. The demeanor in the courtroom was professional, fostering an environment conducive to the fair administration of justice. The</w:t>
      </w:r>
      <w:r>
        <w:t xml:space="preserve"> </w:t>
      </w:r>
      <w:r>
        <w:rPr>
          <w:bCs/>
          <w:b/>
        </w:rPr>
        <w:t xml:space="preserve">Judge</w:t>
      </w:r>
      <w:r>
        <w:t xml:space="preserve"> </w:t>
      </w:r>
      <w:r>
        <w:t xml:space="preserve">successfully managed aggressive counsel without losing composure, ensuring that the proceedings remained orderly and focused on the merits of the case.</w:t>
      </w:r>
    </w:p>
    <w:bookmarkEnd w:id="24"/>
    <w:bookmarkStart w:id="25" w:name="case-management-and-efficiency"/>
    <w:p>
      <w:pPr>
        <w:pStyle w:val="Heading2"/>
      </w:pPr>
      <w:r>
        <w:t xml:space="preserve">5. Case Management and Efficiency</w:t>
      </w:r>
    </w:p>
    <w:p>
      <w:pPr>
        <w:pStyle w:val="FirstParagraph"/>
      </w:pPr>
      <w:r>
        <w:t xml:space="preserve">While legal competence is high, this</w:t>
      </w:r>
      <w:r>
        <w:t xml:space="preserve"> </w:t>
      </w:r>
      <w:r>
        <w:rPr>
          <w:bCs/>
          <w:b/>
        </w:rPr>
        <w:t xml:space="preserve">Peer Review Report</w:t>
      </w:r>
      <w:r>
        <w:t xml:space="preserve"> </w:t>
      </w:r>
      <w:r>
        <w:t xml:space="preserve">identifies a need for improvement in case management efficiency. The courts of</w:t>
      </w:r>
      <w:r>
        <w:t xml:space="preserve"> </w:t>
      </w:r>
      <w:r>
        <w:rPr>
          <w:bCs/>
          <w:b/>
        </w:rPr>
        <w:t xml:space="preserve">France Paris</w:t>
      </w:r>
      <w:r>
        <w:t xml:space="preserve"> </w:t>
      </w:r>
      <w:r>
        <w:t xml:space="preserve">face significant backlogs, and the expectation for a</w:t>
      </w:r>
      <w:r>
        <w:t xml:space="preserve"> </w:t>
      </w:r>
      <w:r>
        <w:rPr>
          <w:bCs/>
          <w:b/>
        </w:rPr>
        <w:t xml:space="preserve">Judge</w:t>
      </w:r>
      <w:r>
        <w:t xml:space="preserve"> </w:t>
      </w:r>
      <w:r>
        <w:t xml:space="preserve">is to manage their docket proactively.</w:t>
      </w:r>
    </w:p>
    <w:p>
      <w:pPr>
        <w:pStyle w:val="BodyText"/>
      </w:pPr>
      <w:r>
        <w:t xml:space="preserve">Data indicates that the subject</w:t>
      </w:r>
      <w:r>
        <w:t xml:space="preserve"> </w:t>
      </w:r>
      <w:r>
        <w:rPr>
          <w:bCs/>
          <w:b/>
        </w:rPr>
        <w:t xml:space="preserve">Judge</w:t>
      </w:r>
      <w:r>
        <w:t xml:space="preserve">'s average time to disposition for standard civil cases is 15% higher than the median for the tribunal. While the complexity of cases is a factor, there is evidence that excessive scheduling of preliminary hearings without clear directives contributes to delays. To improve efficiency, the</w:t>
      </w:r>
      <w:r>
        <w:t xml:space="preserve"> </w:t>
      </w:r>
      <w:r>
        <w:rPr>
          <w:bCs/>
          <w:b/>
        </w:rPr>
        <w:t xml:space="preserve">Judge</w:t>
      </w:r>
      <w:r>
        <w:t xml:space="preserve"> </w:t>
      </w:r>
      <w:r>
        <w:t xml:space="preserve">is advised to:</w:t>
      </w:r>
    </w:p>
    <w:p>
      <w:pPr>
        <w:numPr>
          <w:ilvl w:val="0"/>
          <w:numId w:val="1002"/>
        </w:numPr>
        <w:pStyle w:val="Compact"/>
      </w:pPr>
      <w:r>
        <w:t xml:space="preserve">Implement stricter pre-trial discovery limits to streamline evidence presentation.</w:t>
      </w:r>
    </w:p>
    <w:p>
      <w:pPr>
        <w:numPr>
          <w:ilvl w:val="0"/>
          <w:numId w:val="1002"/>
        </w:numPr>
        <w:pStyle w:val="Compact"/>
      </w:pPr>
      <w:r>
        <w:t xml:space="preserve">Utilize case management conferences more effectively to narrow issues before trial.</w:t>
      </w:r>
    </w:p>
    <w:p>
      <w:pPr>
        <w:numPr>
          <w:ilvl w:val="0"/>
          <w:numId w:val="1002"/>
        </w:numPr>
        <w:pStyle w:val="Compact"/>
      </w:pPr>
      <w:r>
        <w:t xml:space="preserve">Adopt a more rigorous schedule for the issuance of written judgments to reduce post-hearing delays.</w:t>
      </w:r>
    </w:p>
    <w:bookmarkEnd w:id="25"/>
    <w:bookmarkStart w:id="26" w:name="communication-and-professionalism"/>
    <w:p>
      <w:pPr>
        <w:pStyle w:val="Heading2"/>
      </w:pPr>
      <w:r>
        <w:t xml:space="preserve">6. Communication and Professionalism</w:t>
      </w:r>
    </w:p>
    <w:p>
      <w:pPr>
        <w:pStyle w:val="FirstParagraph"/>
      </w:pPr>
      <w:r>
        <w:t xml:space="preserve">The quality of written communication is a critical metric in this</w:t>
      </w:r>
      <w:r>
        <w:t xml:space="preserve"> </w:t>
      </w:r>
      <w:r>
        <w:rPr>
          <w:bCs/>
          <w:b/>
        </w:rPr>
        <w:t xml:space="preserve">Peer Review Report</w:t>
      </w:r>
      <w:r>
        <w:t xml:space="preserve">. The</w:t>
      </w:r>
      <w:r>
        <w:t xml:space="preserve"> </w:t>
      </w:r>
      <w:r>
        <w:rPr>
          <w:bCs/>
          <w:b/>
        </w:rPr>
        <w:t xml:space="preserve">Judge</w:t>
      </w:r>
      <w:r>
        <w:t xml:space="preserve">'s written orders are generally well-drafted, though occasional grammatical inconsistencies were noted. In oral rulings, the</w:t>
      </w:r>
      <w:r>
        <w:t xml:space="preserve"> </w:t>
      </w:r>
      <w:r>
        <w:rPr>
          <w:bCs/>
          <w:b/>
        </w:rPr>
        <w:t xml:space="preserve">Judge</w:t>
      </w:r>
      <w:r>
        <w:t xml:space="preserve"> </w:t>
      </w:r>
      <w:r>
        <w:t xml:space="preserve">is articulate and precise.</w:t>
      </w:r>
    </w:p>
    <w:p>
      <w:pPr>
        <w:pStyle w:val="BodyText"/>
      </w:pPr>
      <w:r>
        <w:t xml:space="preserve">Interaction with the court staff in</w:t>
      </w:r>
      <w:r>
        <w:t xml:space="preserve"> </w:t>
      </w:r>
      <w:r>
        <w:rPr>
          <w:bCs/>
          <w:b/>
        </w:rPr>
        <w:t xml:space="preserve">France Paris</w:t>
      </w:r>
      <w:r>
        <w:t xml:space="preserve"> </w:t>
      </w:r>
      <w:r>
        <w:t xml:space="preserve">was reported as collaborative. The</w:t>
      </w:r>
      <w:r>
        <w:t xml:space="preserve"> </w:t>
      </w:r>
      <w:r>
        <w:rPr>
          <w:bCs/>
          <w:b/>
        </w:rPr>
        <w:t xml:space="preserve">Judge</w:t>
      </w:r>
      <w:r>
        <w:t xml:space="preserve"> </w:t>
      </w:r>
      <w:r>
        <w:t xml:space="preserve">is viewed as approachable by clerks, which facilitates a smoother workflow. However, feedback suggests that instructions to junior staff could be more explicit to prevent administrative errors.</w:t>
      </w:r>
    </w:p>
    <w:bookmarkEnd w:id="26"/>
    <w:bookmarkStart w:id="27" w:name="recommendations-and-conclusion"/>
    <w:p>
      <w:pPr>
        <w:pStyle w:val="Heading2"/>
      </w:pPr>
      <w:r>
        <w:t xml:space="preserve">7.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a capable and ethical officer of the court, well-suited to the demands of the</w:t>
      </w:r>
      <w:r>
        <w:t xml:space="preserve"> </w:t>
      </w:r>
      <w:r>
        <w:rPr>
          <w:bCs/>
          <w:b/>
        </w:rPr>
        <w:t xml:space="preserve">France Paris</w:t>
      </w:r>
      <w:r>
        <w:t xml:space="preserve"> </w:t>
      </w:r>
      <w:r>
        <w:t xml:space="preserve">jurisdiction. The legal reasoning and impartiality displayed are of a high standard.</w:t>
      </w:r>
    </w:p>
    <w:p>
      <w:pPr>
        <w:pStyle w:val="BodyText"/>
      </w:pPr>
      <w:r>
        <w:t xml:space="preserve">To further enhance judicial performance, the following recommendations are made:</w:t>
      </w:r>
    </w:p>
    <w:p>
      <w:pPr>
        <w:numPr>
          <w:ilvl w:val="0"/>
          <w:numId w:val="1003"/>
        </w:numPr>
        <w:pStyle w:val="Compact"/>
      </w:pPr>
      <w:r>
        <w:rPr>
          <w:bCs/>
          <w:b/>
        </w:rPr>
        <w:t xml:space="preserve">Enhance Docket Management:</w:t>
      </w:r>
      <w:r>
        <w:t xml:space="preserve"> </w:t>
      </w:r>
      <w:r>
        <w:t xml:space="preserve">The</w:t>
      </w:r>
      <w:r>
        <w:t xml:space="preserve"> </w:t>
      </w:r>
      <w:r>
        <w:rPr>
          <w:bCs/>
          <w:b/>
        </w:rPr>
        <w:t xml:space="preserve">Judge</w:t>
      </w:r>
      <w:r>
        <w:t xml:space="preserve"> </w:t>
      </w:r>
      <w:r>
        <w:t xml:space="preserve">should attend advanced training on judicial case management to reduce disposition times.</w:t>
      </w:r>
    </w:p>
    <w:p>
      <w:pPr>
        <w:numPr>
          <w:ilvl w:val="0"/>
          <w:numId w:val="1003"/>
        </w:numPr>
        <w:pStyle w:val="Compact"/>
      </w:pPr>
      <w:r>
        <w:rPr>
          <w:bCs/>
          <w:b/>
        </w:rPr>
        <w:t xml:space="preserve">Standardize Orders:</w:t>
      </w:r>
      <w:r>
        <w:t xml:space="preserve"> </w:t>
      </w:r>
      <w:r>
        <w:t xml:space="preserve">Utilize standardized templates for routine procedural orders to save time and ensure consistency.</w:t>
      </w:r>
    </w:p>
    <w:p>
      <w:pPr>
        <w:numPr>
          <w:ilvl w:val="0"/>
          <w:numId w:val="1003"/>
        </w:numPr>
        <w:pStyle w:val="Compact"/>
      </w:pPr>
      <w:r>
        <w:rPr>
          <w:bCs/>
          <w:b/>
        </w:rPr>
        <w:t xml:space="preserve">Mentorship:</w:t>
      </w:r>
      <w:r>
        <w:t xml:space="preserve"> </w:t>
      </w:r>
      <w:r>
        <w:t xml:space="preserve">Engage in peer mentoring with senior judges known for high efficiency in the Parisian courts.</w:t>
      </w:r>
    </w:p>
    <w:p>
      <w:pPr>
        <w:pStyle w:val="FirstParagraph"/>
      </w:pPr>
      <w:r>
        <w:t xml:space="preserve">The High Council of the Judiciary expects these recommendations to be addressed within the next twelve months. A follow-up review may be scheduled to assess progress.</w:t>
      </w:r>
    </w:p>
    <w:bookmarkEnd w:id="27"/>
    <w:p>
      <w:pPr>
        <w:pStyle w:val="BodyText"/>
      </w:pPr>
      <w:r>
        <w:rPr>
          <w:bCs/>
          <w:b/>
        </w:rPr>
        <w:t xml:space="preserve">Dr. Henri Dubois</w:t>
      </w:r>
      <w:r>
        <w:br/>
      </w:r>
      <w:r>
        <w:t xml:space="preserve">Lead Reviewer</w:t>
      </w:r>
      <w:r>
        <w:br/>
      </w:r>
      <w:r>
        <w:t xml:space="preserve">High Council of the Judiciary</w:t>
      </w:r>
    </w:p>
    <w:p>
      <w:pPr>
        <w:pStyle w:val="BodyText"/>
      </w:pPr>
      <w:r>
        <w:rPr>
          <w:bCs/>
          <w:b/>
        </w:rPr>
        <w:t xml:space="preserve">Ms. Sophie Martin</w:t>
      </w:r>
      <w:r>
        <w:br/>
      </w:r>
      <w:r>
        <w:t xml:space="preserve">Senior Peer Evaluator</w:t>
      </w:r>
      <w:r>
        <w:br/>
      </w:r>
      <w:r>
        <w:t xml:space="preserve">Judicial Ethics Committee</w:t>
      </w:r>
    </w:p>
    <w:p>
      <w:pPr>
        <w:pStyle w:val="BodyText"/>
      </w:pPr>
      <w:r>
        <w:t xml:space="preserve">This document is confidential and intended solely for the use of the High Council of the Judiciary and the subject Judge. Unauthorized distribution is prohibited under French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2026-10-10T01:23:28Z</dcterms:created>
  <dcterms:modified xsi:type="dcterms:W3CDTF">2026-10-10T01:23:28Z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