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Frankfurt</w:t>
      </w:r>
      <w:r>
        <w:t xml:space="preserve"> </w:t>
      </w:r>
      <w:r>
        <w:t xml:space="preserve">am</w:t>
      </w:r>
      <w:r>
        <w:t xml:space="preserve"> </w:t>
      </w:r>
      <w:r>
        <w:t xml:space="preserve">Main</w:t>
      </w:r>
    </w:p>
    <w:p>
      <w:pPr>
        <w:pStyle w:val="FirstParagraph"/>
      </w:pPr>
      <w:r>
        <w:t xml:space="preserve">CONFIDENTIAL DOCUMENT - FOR INTERNAL JUDICIAL ADMINISTRATION USE ONLY</w:t>
      </w:r>
    </w:p>
    <w:bookmarkStart w:id="20" w:name="peer-review-report"/>
    <w:p>
      <w:pPr>
        <w:pStyle w:val="Heading1"/>
      </w:pPr>
      <w:r>
        <w:t xml:space="preserve">Peer Review Report</w:t>
      </w:r>
    </w:p>
    <w:p>
      <w:pPr>
        <w:pStyle w:val="FirstParagraph"/>
      </w:pPr>
      <w:r>
        <w:t xml:space="preserve">Judicial Performance and Professional Conduct Evaluation</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Subject Judge:</w:t>
      </w:r>
      <w:r>
        <w:t xml:space="preserve"> </w:t>
      </w:r>
      <w:r>
        <w:t xml:space="preserve">[Judge Name Redacted]</w:t>
      </w:r>
    </w:p>
    <w:p>
      <w:pPr>
        <w:pStyle w:val="BodyText"/>
      </w:pPr>
      <w:r>
        <w:rPr>
          <w:bCs/>
          <w:b/>
        </w:rPr>
        <w:t xml:space="preserve">Jurisdiction:</w:t>
      </w:r>
      <w:r>
        <w:t xml:space="preserve"> </w:t>
      </w:r>
      <w:r>
        <w:t xml:space="preserve">Landgericht Frankfurt am Main</w:t>
      </w:r>
    </w:p>
    <w:p>
      <w:pPr>
        <w:pStyle w:val="BodyText"/>
      </w:pPr>
      <w:r>
        <w:rPr>
          <w:bCs/>
          <w:b/>
        </w:rPr>
        <w:t xml:space="preserve">Division:</w:t>
      </w:r>
      <w:r>
        <w:t xml:space="preserve"> </w:t>
      </w:r>
      <w:r>
        <w:t xml:space="preserve">Civil Law Division (Kammer für Handelssachen)</w:t>
      </w:r>
    </w:p>
    <w:p>
      <w:pPr>
        <w:pStyle w:val="BodyText"/>
      </w:pPr>
      <w:r>
        <w:rPr>
          <w:bCs/>
          <w:b/>
        </w:rPr>
        <w:t xml:space="preserve">Reviewing Panel:</w:t>
      </w:r>
      <w:r>
        <w:t xml:space="preserve"> </w:t>
      </w:r>
      <w:r>
        <w:t xml:space="preserve">Senior Judicial Peer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judicial temperament, and adherence to legal standards of the subject Judge within the jurisdiction of Germany Frankfurt. The review process was conducted in accordance with the principles of judicial independence and the specific guidelines set forth by the Hessian State Ministry of Justice. The primary objective of this assessment is to ensure the highest quality of justice delivery in one of Europe's most significant financial and legal hubs.</w:t>
      </w:r>
    </w:p>
    <w:p>
      <w:pPr>
        <w:pStyle w:val="BodyText"/>
      </w:pPr>
      <w:r>
        <w:t xml:space="preserve">The findings indicate that the Judge demonstrates a robust command of German civil law and commercial regulations. The evaluation highlights a consistent commitment to procedural efficiency, which is critical given the high volume of complex financial litigation typical of the Frankfurt courts. However, the report also identifies areas for professional development regarding the clarity of oral rulings and the management of cross-border legal complexities.</w:t>
      </w:r>
    </w:p>
    <w:bookmarkEnd w:id="21"/>
    <w:bookmarkStart w:id="22" w:name="Xc953d9261800d6a3aca5ee1fd17d32672cfce56"/>
    <w:p>
      <w:pPr>
        <w:pStyle w:val="Heading2"/>
      </w:pPr>
      <w:r>
        <w:t xml:space="preserve">2. Context of the Review: The Frankfurt Jurisdiction</w:t>
      </w:r>
    </w:p>
    <w:p>
      <w:pPr>
        <w:pStyle w:val="FirstParagraph"/>
      </w:pPr>
      <w:r>
        <w:t xml:space="preserve">The role of a Judge in Germany Frankfurt is distinct due to the city's status as the financial capital of the Eurozone. The Landgericht Frankfurt am Main handles a disproportionate number of high-stakes commercial disputes, banking litigation, and international arbitration matters. Consequently, the expectations for judicial competence in this region are exceptionally high.</w:t>
      </w:r>
    </w:p>
    <w:p>
      <w:pPr>
        <w:pStyle w:val="BodyText"/>
      </w:pPr>
      <w:r>
        <w:t xml:space="preserve">This Peer Review Report specifically contextualizes the Judge's performance against the backdrop of this demanding environment. The review panel considered not only the statutory requirements of the German Judiciary Act (Deutsches Richtergesetz) but also the practical necessities of maintaining the reputation of the Frankfurt courts on the international stage. The ability to navigate complex financial instruments and international private law is a key metric in this specific evaluation.</w:t>
      </w:r>
    </w:p>
    <w:bookmarkEnd w:id="22"/>
    <w:bookmarkStart w:id="25" w:name="X6b344297cc9f54bd12124cc10be4e1dade7c42e"/>
    <w:p>
      <w:pPr>
        <w:pStyle w:val="Heading2"/>
      </w:pPr>
      <w:r>
        <w:t xml:space="preserve">3. Evaluation of Legal Competence and Decision-Making</w:t>
      </w:r>
    </w:p>
    <w:bookmarkStart w:id="23" w:name="knowledge-of-law"/>
    <w:p>
      <w:pPr>
        <w:pStyle w:val="Heading3"/>
      </w:pPr>
      <w:r>
        <w:t xml:space="preserve">3.1 Knowledge of Law</w:t>
      </w:r>
    </w:p>
    <w:p>
      <w:pPr>
        <w:pStyle w:val="FirstParagraph"/>
      </w:pPr>
      <w:r>
        <w:t xml:space="preserve">The subject Judge exhibits an exemplary understanding of the German Civil Code (BGB) and the Commercial Code (HGB). During the review period, the Judge presided over several landmark cases involving corporate governance and derivative suits. The written judgments produced were thorough, well-reasoned, and demonstrated a sophisticated grasp of evolving legal precedents.</w:t>
      </w:r>
    </w:p>
    <w:p>
      <w:pPr>
        <w:pStyle w:val="BodyText"/>
      </w:pPr>
      <w:r>
        <w:t xml:space="preserve">Furthermore, the Judge showed a commendable ability to integrate European Union regulations into domestic rulings, a crucial skill for a Judge operating in Germany Frankfurt. The legal reasoning was consistently sound, with no instances of reversible error identified during the peer observation of case files.</w:t>
      </w:r>
    </w:p>
    <w:bookmarkEnd w:id="23"/>
    <w:bookmarkStart w:id="24" w:name="quality-of-judgments"/>
    <w:p>
      <w:pPr>
        <w:pStyle w:val="Heading3"/>
      </w:pPr>
      <w:r>
        <w:t xml:space="preserve">3.2 Quality of Judgments</w:t>
      </w:r>
    </w:p>
    <w:p>
      <w:pPr>
        <w:pStyle w:val="FirstParagraph"/>
      </w:pPr>
      <w:r>
        <w:t xml:space="preserve">The clarity and structure of the written decisions were rated highly. The Judge ensures that the logic connecting the facts to the legal conclusion is transparent. This is vital for maintaining public trust and ensuring that parties understand the basis of the ruling. The language used was precise, adhering to the formal standards required in German legal documentation.</w:t>
      </w:r>
    </w:p>
    <w:bookmarkEnd w:id="24"/>
    <w:bookmarkEnd w:id="25"/>
    <w:bookmarkStart w:id="28" w:name="X55a8eb6bf8083da2609e928eaf342e2ce431513"/>
    <w:p>
      <w:pPr>
        <w:pStyle w:val="Heading2"/>
      </w:pPr>
      <w:r>
        <w:t xml:space="preserve">4. Judicial Temperament and Courtroom Management</w:t>
      </w:r>
    </w:p>
    <w:bookmarkStart w:id="26" w:name="impartiality-and-integrity"/>
    <w:p>
      <w:pPr>
        <w:pStyle w:val="Heading3"/>
      </w:pPr>
      <w:r>
        <w:t xml:space="preserve">4.1 Impartiality and Integrity</w:t>
      </w:r>
    </w:p>
    <w:p>
      <w:pPr>
        <w:pStyle w:val="FirstParagraph"/>
      </w:pPr>
      <w:r>
        <w:t xml:space="preserve">A cornerstone of the Peer Review Report is the assessment of impartiality. The Judge maintained strict neutrality throughout all observed proceedings. There were no indications of bias, prejudice, or external influence. The Judge adhered strictly to the ethical codes mandated for the judiciary in Germany, ensuring that all parties felt heard and treated with dignity.</w:t>
      </w:r>
    </w:p>
    <w:bookmarkEnd w:id="26"/>
    <w:bookmarkStart w:id="27" w:name="efficiency-and-case-management"/>
    <w:p>
      <w:pPr>
        <w:pStyle w:val="Heading3"/>
      </w:pPr>
      <w:r>
        <w:t xml:space="preserve">4.2 Efficiency and Case Management</w:t>
      </w:r>
    </w:p>
    <w:p>
      <w:pPr>
        <w:pStyle w:val="FirstParagraph"/>
      </w:pPr>
      <w:r>
        <w:t xml:space="preserve">Given the backlog challenges often faced by courts in Germany Frankfurt, the Judge's ability to manage the docket efficiently is of paramount importance. The Judge successfully reduced the average duration of proceedings in their assigned cases by 15% compared to the previous year. This was achieved through rigorous pre-trial scheduling and effective management of evidentiary submissions.</w:t>
      </w:r>
    </w:p>
    <w:p>
      <w:pPr>
        <w:pStyle w:val="BodyText"/>
      </w:pPr>
      <w:r>
        <w:t xml:space="preserve">However, the review noted that in highly complex multi-party hearings, the Judge occasionally allowed proceedings to run longer than necessary. While thoroughness is valued, tighter control over time management during oral arguments would further enhance efficiency.</w:t>
      </w:r>
    </w:p>
    <w:bookmarkEnd w:id="27"/>
    <w:bookmarkEnd w:id="28"/>
    <w:bookmarkStart w:id="29" w:name="Xda79409093af40bd3d15ed7d2a5582dbca223f1"/>
    <w:p>
      <w:pPr>
        <w:pStyle w:val="Heading2"/>
      </w:pPr>
      <w:r>
        <w:t xml:space="preserve">5. Areas for Improvement and Recommendations</w:t>
      </w:r>
    </w:p>
    <w:p>
      <w:pPr>
        <w:pStyle w:val="FirstParagraph"/>
      </w:pPr>
      <w:r>
        <w:t xml:space="preserve">While the overall performance of the Judge is rated as "Excellent," this Peer Review Report identifies specific areas for refinement to ensure continued excellence in the Frankfurt jurisdiction:</w:t>
      </w:r>
    </w:p>
    <w:p>
      <w:pPr>
        <w:numPr>
          <w:ilvl w:val="0"/>
          <w:numId w:val="1001"/>
        </w:numPr>
        <w:pStyle w:val="Compact"/>
      </w:pPr>
      <w:r>
        <w:rPr>
          <w:bCs/>
          <w:b/>
        </w:rPr>
        <w:t xml:space="preserve">Oral Communication:</w:t>
      </w:r>
      <w:r>
        <w:t xml:space="preserve"> </w:t>
      </w:r>
      <w:r>
        <w:t xml:space="preserve">The Judge is encouraged to provide more concise oral summaries of rulings immediately following hearings. This can reduce uncertainty for litigants and their counsel while awaiting the full written judgment.</w:t>
      </w:r>
    </w:p>
    <w:p>
      <w:pPr>
        <w:numPr>
          <w:ilvl w:val="0"/>
          <w:numId w:val="1001"/>
        </w:numPr>
        <w:pStyle w:val="Compact"/>
      </w:pPr>
      <w:r>
        <w:rPr>
          <w:bCs/>
          <w:b/>
        </w:rPr>
        <w:t xml:space="preserve">International Law Integration:</w:t>
      </w:r>
      <w:r>
        <w:t xml:space="preserve"> </w:t>
      </w:r>
      <w:r>
        <w:t xml:space="preserve">Given the international nature of Frankfurt's caseload, the Judge is recommended to engage in further specialized training regarding the latest developments in international arbitration law and cross-border insolvency.</w:t>
      </w:r>
    </w:p>
    <w:p>
      <w:pPr>
        <w:numPr>
          <w:ilvl w:val="0"/>
          <w:numId w:val="1001"/>
        </w:numPr>
        <w:pStyle w:val="Compact"/>
      </w:pPr>
      <w:r>
        <w:rPr>
          <w:bCs/>
          <w:b/>
        </w:rPr>
        <w:t xml:space="preserve">Technological Adaptation:</w:t>
      </w:r>
      <w:r>
        <w:t xml:space="preserve"> </w:t>
      </w:r>
      <w:r>
        <w:t xml:space="preserve">The Judge should continue to embrace digital case management tools to further streamline the workflow, aligning with the modernization efforts of the German justice system.</w:t>
      </w:r>
    </w:p>
    <w:bookmarkEnd w:id="29"/>
    <w:bookmarkStart w:id="30" w:name="conclusion"/>
    <w:p>
      <w:pPr>
        <w:pStyle w:val="Heading2"/>
      </w:pPr>
      <w:r>
        <w:t xml:space="preserve">6. Conclusion</w:t>
      </w:r>
    </w:p>
    <w:p>
      <w:pPr>
        <w:pStyle w:val="FirstParagraph"/>
      </w:pPr>
      <w:r>
        <w:t xml:space="preserve">In conclusion, this Peer Review Report affirms that the subject Judge is a highly competent and dedicated member of the judiciary in Germany Frankfurt. Their contributions to the Landgericht Frankfurt am Main are significant, particularly in the realm of commercial law. The Judge upholds the integrity of the court and delivers justice with fairness and expertise.</w:t>
      </w:r>
    </w:p>
    <w:p>
      <w:pPr>
        <w:pStyle w:val="BodyText"/>
      </w:pPr>
      <w:r>
        <w:t xml:space="preserve">The recommendations provided in this document are intended as constructive guidance to support the Judge's professional growth. It is the consensus of the reviewing panel that the Judge is well-suited to their current role and is capable of handling the most complex legal challenges presented within the Frankfurt jurisdiction.</w:t>
      </w:r>
    </w:p>
    <w:bookmarkEnd w:id="30"/>
    <w:p>
      <w:pPr>
        <w:pStyle w:val="BodyText"/>
      </w:pPr>
      <w:r>
        <w:rPr>
          <w:bCs/>
          <w:b/>
        </w:rPr>
        <w:t xml:space="preserve">Prepared By:</w:t>
      </w:r>
      <w:r>
        <w:br/>
      </w:r>
      <w:r>
        <w:t xml:space="preserve">Dr. [Name Redacted]</w:t>
      </w:r>
      <w:r>
        <w:br/>
      </w:r>
      <w:r>
        <w:t xml:space="preserve">Senior Peer Reviewer</w:t>
      </w:r>
      <w:r>
        <w:br/>
      </w:r>
      <w:r>
        <w:t xml:space="preserve">Hessian Judicial Council</w:t>
      </w:r>
    </w:p>
    <w:p>
      <w:pPr>
        <w:pStyle w:val="BodyText"/>
      </w:pPr>
      <w:r>
        <w:rPr>
          <w:bCs/>
          <w:b/>
        </w:rPr>
        <w:t xml:space="preserve">Approved By:</w:t>
      </w:r>
      <w:r>
        <w:br/>
      </w:r>
      <w:r>
        <w:t xml:space="preserve">[Name Redacted]</w:t>
      </w:r>
      <w:r>
        <w:br/>
      </w:r>
      <w:r>
        <w:t xml:space="preserve">President of the Court</w:t>
      </w:r>
      <w:r>
        <w:br/>
      </w:r>
      <w:r>
        <w:t xml:space="preserve">Landgericht Frankfurt am Main</w:t>
      </w:r>
    </w:p>
    <w:p>
      <w:pPr>
        <w:pStyle w:val="BodyText"/>
      </w:pPr>
      <w:r>
        <w:t xml:space="preserve">Document ID: FR-JUD-PR-2023-8842 | Generated for Internal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Frankfurt am Main</dc:title>
  <dc:creator/>
  <dc:language>en</dc:language>
  <cp:keywords/>
  <dcterms:created xsi:type="dcterms:W3CDTF">2026-10-10T03:51:29Z</dcterms:created>
  <dcterms:modified xsi:type="dcterms:W3CDTF">2026-10-10T03:51:29Z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