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Confidential Evaluation of Judicial Conduct and Competence</w:t>
      </w:r>
    </w:p>
    <w:p>
      <w:pPr>
        <w:pStyle w:val="BodyText"/>
      </w:pPr>
      <w:r>
        <w:rPr>
          <w:bCs/>
          <w:b/>
        </w:rPr>
        <w:t xml:space="preserve">Subject Role:</w:t>
      </w:r>
      <w:r>
        <w:t xml:space="preserve"> </w:t>
      </w:r>
      <w:r>
        <w:t xml:space="preserve">Judge (Amtierender Richter)</w:t>
      </w:r>
    </w:p>
    <w:p>
      <w:pPr>
        <w:pStyle w:val="BodyText"/>
      </w:pPr>
      <w:r>
        <w:rPr>
          <w:bCs/>
          <w:b/>
        </w:rPr>
        <w:t xml:space="preserve">Jurisdiction:</w:t>
      </w:r>
      <w:r>
        <w:t xml:space="preserve"> </w:t>
      </w:r>
      <w:r>
        <w:t xml:space="preserve">Germany Munich (Landgericht München I)</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Review Panel:</w:t>
      </w:r>
      <w:r>
        <w:t xml:space="preserve"> </w:t>
      </w:r>
      <w:r>
        <w:t xml:space="preserve">Senior Judicial Oversight Committee</w:t>
      </w:r>
    </w:p>
    <w:p>
      <w:pPr>
        <w:pStyle w:val="BodyText"/>
      </w:pPr>
      <w:r>
        <w:rPr>
          <w:bCs/>
          <w:b/>
        </w:rPr>
        <w:t xml:space="preserve">Classification:</w:t>
      </w:r>
      <w:r>
        <w:t xml:space="preserve"> </w:t>
      </w:r>
      <w:r>
        <w:t xml:space="preserve">Internal / Restricted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constitutes a formal assessment of the professional performance, ethical adherence, and procedural efficiency of the designated</w:t>
      </w:r>
      <w:r>
        <w:t xml:space="preserve"> </w:t>
      </w:r>
      <w:r>
        <w:rPr>
          <w:bCs/>
          <w:b/>
        </w:rPr>
        <w:t xml:space="preserve">Judge</w:t>
      </w:r>
      <w:r>
        <w:t xml:space="preserve"> </w:t>
      </w:r>
      <w:r>
        <w:t xml:space="preserve">operating within the judicial district of</w:t>
      </w:r>
      <w:r>
        <w:t xml:space="preserve"> </w:t>
      </w:r>
      <w:r>
        <w:rPr>
          <w:bCs/>
          <w:b/>
        </w:rPr>
        <w:t xml:space="preserve">Germany Munich</w:t>
      </w:r>
      <w:r>
        <w:t xml:space="preserve">. The evaluation is conducted in accordance with the principles of the German Judiciary Act (Deutsches Richtergesetz) and the specific standards expected of the Bavarian judicial system. The primary objective of this review is to ensure the maintenance of the highest standards of justice, impartiality, and legal rigor within one of Europe's most significant legal hubs.</w:t>
      </w:r>
    </w:p>
    <w:p>
      <w:pPr>
        <w:pStyle w:val="BodyText"/>
      </w:pPr>
      <w:r>
        <w:t xml:space="preserve">The subject</w:t>
      </w:r>
      <w:r>
        <w:t xml:space="preserve"> </w:t>
      </w:r>
      <w:r>
        <w:rPr>
          <w:bCs/>
          <w:b/>
        </w:rPr>
        <w:t xml:space="preserve">Judge</w:t>
      </w:r>
      <w:r>
        <w:t xml:space="preserve"> </w:t>
      </w:r>
      <w:r>
        <w:t xml:space="preserve">has demonstrated a commendable level of expertise in civil and commercial law, areas of particular relevance to the economic landscape of</w:t>
      </w:r>
      <w:r>
        <w:t xml:space="preserve"> </w:t>
      </w:r>
      <w:r>
        <w:rPr>
          <w:bCs/>
          <w:b/>
        </w:rPr>
        <w:t xml:space="preserve">Germany Munich</w:t>
      </w:r>
      <w:r>
        <w:t xml:space="preserve">. However, this report also identifies specific areas regarding case management efficiency and courtroom demeanor that require attention to align fully with the modern expectations of the judiciary in Bavaria.</w:t>
      </w:r>
    </w:p>
    <w:bookmarkEnd w:id="21"/>
    <w:bookmarkStart w:id="22" w:name="legal-competence-and-application-of-law"/>
    <w:p>
      <w:pPr>
        <w:pStyle w:val="Heading2"/>
      </w:pPr>
      <w:r>
        <w:t xml:space="preserve">2. Legal Competence and Application of Law</w:t>
      </w:r>
    </w:p>
    <w:p>
      <w:pPr>
        <w:pStyle w:val="FirstParagraph"/>
      </w:pPr>
      <w:r>
        <w:t xml:space="preserve">The core function of any</w:t>
      </w:r>
      <w:r>
        <w:t xml:space="preserve"> </w:t>
      </w:r>
      <w:r>
        <w:rPr>
          <w:bCs/>
          <w:b/>
        </w:rPr>
        <w:t xml:space="preserve">Judge</w:t>
      </w:r>
      <w:r>
        <w:t xml:space="preserve"> </w:t>
      </w:r>
      <w:r>
        <w:t xml:space="preserve">is the accurate interpretation and application of statutory law. In the context of</w:t>
      </w:r>
      <w:r>
        <w:t xml:space="preserve"> </w:t>
      </w:r>
      <w:r>
        <w:rPr>
          <w:bCs/>
          <w:b/>
        </w:rPr>
        <w:t xml:space="preserve">Germany Munich</w:t>
      </w:r>
      <w:r>
        <w:t xml:space="preserve">, where complex international commercial disputes and high-profile civil cases are frequent, legal acuity is paramount. The</w:t>
      </w:r>
      <w:r>
        <w:t xml:space="preserve"> </w:t>
      </w:r>
      <w:r>
        <w:rPr>
          <w:bCs/>
          <w:b/>
        </w:rPr>
        <w:t xml:space="preserve">Judge</w:t>
      </w:r>
      <w:r>
        <w:t xml:space="preserve"> </w:t>
      </w:r>
      <w:r>
        <w:t xml:space="preserve">under review has exhibited a robust understanding of the German Civil Code (BGB) and the Code of Civil Procedure (ZPO).</w:t>
      </w:r>
    </w:p>
    <w:p>
      <w:pPr>
        <w:pStyle w:val="BodyText"/>
      </w:pPr>
      <w:r>
        <w:t xml:space="preserve">During the review period, the</w:t>
      </w:r>
      <w:r>
        <w:t xml:space="preserve"> </w:t>
      </w:r>
      <w:r>
        <w:rPr>
          <w:bCs/>
          <w:b/>
        </w:rPr>
        <w:t xml:space="preserve">Judge</w:t>
      </w:r>
      <w:r>
        <w:t xml:space="preserve"> </w:t>
      </w:r>
      <w:r>
        <w:t xml:space="preserve">presided over approximately 140 cases. A sample analysis of 20 written judgments reveals a high degree of logical consistency and thorough legal reasoning. The</w:t>
      </w:r>
      <w:r>
        <w:t xml:space="preserve"> </w:t>
      </w:r>
      <w:r>
        <w:rPr>
          <w:bCs/>
          <w:b/>
        </w:rPr>
        <w:t xml:space="preserve">Judge</w:t>
      </w:r>
      <w:r>
        <w:t xml:space="preserve"> </w:t>
      </w:r>
      <w:r>
        <w:t xml:space="preserve">effectively navigated the intersection of local Bavarian regulations and federal German law. Furthermore, the</w:t>
      </w:r>
      <w:r>
        <w:t xml:space="preserve"> </w:t>
      </w:r>
      <w:r>
        <w:rPr>
          <w:bCs/>
          <w:b/>
        </w:rPr>
        <w:t xml:space="preserve">Judge</w:t>
      </w:r>
      <w:r>
        <w:t xml:space="preserve"> </w:t>
      </w:r>
      <w:r>
        <w:t xml:space="preserve">showed particular proficiency in handling cases involving technology and intellectual property, a sector that is booming in</w:t>
      </w:r>
      <w:r>
        <w:t xml:space="preserve"> </w:t>
      </w:r>
      <w:r>
        <w:rPr>
          <w:bCs/>
          <w:b/>
        </w:rPr>
        <w:t xml:space="preserve">Germany Munich</w:t>
      </w:r>
      <w:r>
        <w:t xml:space="preserve">. The ability to comprehend technical evidence without excessive reliance on external experts is a significant asset to the court.</w:t>
      </w:r>
    </w:p>
    <w:p>
      <w:pPr>
        <w:pStyle w:val="BodyText"/>
      </w:pPr>
      <w:r>
        <w:t xml:space="preserve">Assessment Rating: Excellent (4.8/5.0)</w:t>
      </w:r>
    </w:p>
    <w:bookmarkEnd w:id="22"/>
    <w:bookmarkStart w:id="23" w:name="judicial-impartiality-and-ethics"/>
    <w:p>
      <w:pPr>
        <w:pStyle w:val="Heading2"/>
      </w:pPr>
      <w:r>
        <w:t xml:space="preserve">3. Judicial Impartiality and Ethics</w:t>
      </w:r>
    </w:p>
    <w:p>
      <w:pPr>
        <w:pStyle w:val="FirstParagraph"/>
      </w:pPr>
      <w:r>
        <w:t xml:space="preserve">Impartiality is the cornerstone of the German legal system. This</w:t>
      </w:r>
      <w:r>
        <w:t xml:space="preserve"> </w:t>
      </w:r>
      <w:r>
        <w:rPr>
          <w:bCs/>
          <w:b/>
        </w:rPr>
        <w:t xml:space="preserve">Peer Review Report</w:t>
      </w:r>
      <w:r>
        <w:t xml:space="preserve"> </w:t>
      </w:r>
      <w:r>
        <w:t xml:space="preserve">scrutinized the</w:t>
      </w:r>
      <w:r>
        <w:t xml:space="preserve"> </w:t>
      </w:r>
      <w:r>
        <w:rPr>
          <w:bCs/>
          <w:b/>
        </w:rPr>
        <w:t xml:space="preserve">Judge</w:t>
      </w:r>
      <w:r>
        <w:t xml:space="preserve">'s conduct for any signs of bias, prejudice, or external influence. The review included an analysis of recusal requests and complaints filed by litigants.</w:t>
      </w:r>
    </w:p>
    <w:p>
      <w:pPr>
        <w:pStyle w:val="BodyText"/>
      </w:pPr>
      <w:r>
        <w:t xml:space="preserve">The</w:t>
      </w:r>
      <w:r>
        <w:t xml:space="preserve"> </w:t>
      </w:r>
      <w:r>
        <w:rPr>
          <w:bCs/>
          <w:b/>
        </w:rPr>
        <w:t xml:space="preserve">Judge</w:t>
      </w:r>
      <w:r>
        <w:t xml:space="preserve"> </w:t>
      </w:r>
      <w:r>
        <w:t xml:space="preserve">has maintained strict adherence to the principles of neutrality. There were no substantiated claims of partiality regarding the diverse demographic makeup of the population in</w:t>
      </w:r>
      <w:r>
        <w:t xml:space="preserve"> </w:t>
      </w:r>
      <w:r>
        <w:rPr>
          <w:bCs/>
          <w:b/>
        </w:rPr>
        <w:t xml:space="preserve">Germany Munich</w:t>
      </w:r>
      <w:r>
        <w:t xml:space="preserve">. The</w:t>
      </w:r>
      <w:r>
        <w:t xml:space="preserve"> </w:t>
      </w:r>
      <w:r>
        <w:rPr>
          <w:bCs/>
          <w:b/>
        </w:rPr>
        <w:t xml:space="preserve">Judge</w:t>
      </w:r>
      <w:r>
        <w:t xml:space="preserve"> </w:t>
      </w:r>
      <w:r>
        <w:t xml:space="preserve">consistently demonstrated respect for all parties, including self-represented litigants, ensuring that the proceedings remained fair and balanced. The</w:t>
      </w:r>
      <w:r>
        <w:t xml:space="preserve"> </w:t>
      </w:r>
      <w:r>
        <w:rPr>
          <w:bCs/>
          <w:b/>
        </w:rPr>
        <w:t xml:space="preserve">Judge</w:t>
      </w:r>
      <w:r>
        <w:t xml:space="preserve"> </w:t>
      </w:r>
      <w:r>
        <w:t xml:space="preserve">also adhered strictly to the code of conduct regarding ex parte communications, ensuring that all interactions with counsel were transparent and recorded.</w:t>
      </w:r>
    </w:p>
    <w:p>
      <w:pPr>
        <w:pStyle w:val="BodyText"/>
      </w:pPr>
      <w:r>
        <w:t xml:space="preserve">It is noted that the</w:t>
      </w:r>
      <w:r>
        <w:t xml:space="preserve"> </w:t>
      </w:r>
      <w:r>
        <w:rPr>
          <w:bCs/>
          <w:b/>
        </w:rPr>
        <w:t xml:space="preserve">Judge</w:t>
      </w:r>
      <w:r>
        <w:t xml:space="preserve"> </w:t>
      </w:r>
      <w:r>
        <w:t xml:space="preserve">successfully managed potential conflicts of interest in two high-profile cases involving local Munich corporations, opting for recusal in one instance to preserve the integrity of the court, a decision that reflects a high ethical standard.</w:t>
      </w:r>
    </w:p>
    <w:bookmarkEnd w:id="23"/>
    <w:bookmarkStart w:id="24" w:name="courtroom-management-and-demeanor"/>
    <w:p>
      <w:pPr>
        <w:pStyle w:val="Heading2"/>
      </w:pPr>
      <w:r>
        <w:t xml:space="preserve">4. Courtroom Management and Demeanor</w:t>
      </w:r>
    </w:p>
    <w:p>
      <w:pPr>
        <w:pStyle w:val="FirstParagraph"/>
      </w:pPr>
      <w:r>
        <w:t xml:space="preserve">Effective courtroom management is essential for the efficient administration of justice. The</w:t>
      </w:r>
      <w:r>
        <w:t xml:space="preserve"> </w:t>
      </w:r>
      <w:r>
        <w:rPr>
          <w:bCs/>
          <w:b/>
        </w:rPr>
        <w:t xml:space="preserve">Judge</w:t>
      </w:r>
      <w:r>
        <w:t xml:space="preserve"> </w:t>
      </w:r>
      <w:r>
        <w:t xml:space="preserve">is expected to control the proceedings, manage time effectively, and maintain order. In the busy courts of</w:t>
      </w:r>
      <w:r>
        <w:t xml:space="preserve"> </w:t>
      </w:r>
      <w:r>
        <w:rPr>
          <w:bCs/>
          <w:b/>
        </w:rPr>
        <w:t xml:space="preserve">Germany Munich</w:t>
      </w:r>
      <w:r>
        <w:t xml:space="preserve">, where dockets are often overloaded, these skills are critical.</w:t>
      </w:r>
    </w:p>
    <w:p>
      <w:pPr>
        <w:pStyle w:val="BodyText"/>
      </w:pPr>
      <w:r>
        <w:t xml:space="preserve">The</w:t>
      </w:r>
      <w:r>
        <w:t xml:space="preserve"> </w:t>
      </w:r>
      <w:r>
        <w:rPr>
          <w:bCs/>
          <w:b/>
        </w:rPr>
        <w:t xml:space="preserve">Judge</w:t>
      </w:r>
      <w:r>
        <w:t xml:space="preserve"> </w:t>
      </w:r>
      <w:r>
        <w:t xml:space="preserve">generally maintains a professional and authoritative demeanor. However, the review panel observed instances where the</w:t>
      </w:r>
      <w:r>
        <w:t xml:space="preserve"> </w:t>
      </w:r>
      <w:r>
        <w:rPr>
          <w:bCs/>
          <w:b/>
        </w:rPr>
        <w:t xml:space="preserve">Judge</w:t>
      </w:r>
      <w:r>
        <w:t xml:space="preserve"> </w:t>
      </w:r>
      <w:r>
        <w:t xml:space="preserve">appeared impatient with defense counsel during lengthy cross-examinations. While the desire for efficiency is understandable, the</w:t>
      </w:r>
      <w:r>
        <w:t xml:space="preserve"> </w:t>
      </w:r>
      <w:r>
        <w:rPr>
          <w:bCs/>
          <w:b/>
        </w:rPr>
        <w:t xml:space="preserve">Judge</w:t>
      </w:r>
      <w:r>
        <w:t xml:space="preserve"> </w:t>
      </w:r>
      <w:r>
        <w:t xml:space="preserve">must ensure that the right to a full defense is not perceived as being curtailed.</w:t>
      </w:r>
    </w:p>
    <w:p>
      <w:pPr>
        <w:pStyle w:val="BodyText"/>
      </w:pPr>
      <w:r>
        <w:t xml:space="preserve">Recommendations for improvement include:</w:t>
      </w:r>
    </w:p>
    <w:p>
      <w:pPr>
        <w:numPr>
          <w:ilvl w:val="0"/>
          <w:numId w:val="1001"/>
        </w:numPr>
        <w:pStyle w:val="Compact"/>
      </w:pPr>
      <w:r>
        <w:t xml:space="preserve">Exercising greater patience when dealing with non-native German speakers, a common occurrence in the international environment of</w:t>
      </w:r>
      <w:r>
        <w:t xml:space="preserve"> </w:t>
      </w:r>
      <w:r>
        <w:rPr>
          <w:bCs/>
          <w:b/>
        </w:rPr>
        <w:t xml:space="preserve">Germany Munich</w:t>
      </w:r>
      <w:r>
        <w:t xml:space="preserve">.</w:t>
      </w:r>
    </w:p>
    <w:p>
      <w:pPr>
        <w:numPr>
          <w:ilvl w:val="0"/>
          <w:numId w:val="1001"/>
        </w:numPr>
        <w:pStyle w:val="Compact"/>
      </w:pPr>
      <w:r>
        <w:t xml:space="preserve">Providing clearer instructions to parties regarding procedural expectations at the outset of hearings to reduce repetitive arguments.</w:t>
      </w:r>
    </w:p>
    <w:p>
      <w:pPr>
        <w:numPr>
          <w:ilvl w:val="0"/>
          <w:numId w:val="1001"/>
        </w:numPr>
        <w:pStyle w:val="Compact"/>
      </w:pPr>
      <w:r>
        <w:t xml:space="preserve">Ensuring that the tone of voice remains neutral and does not convey frustration, which can be misinterpreted as bias.</w:t>
      </w:r>
    </w:p>
    <w:bookmarkEnd w:id="24"/>
    <w:bookmarkStart w:id="25" w:name="efficiency-and-case-management"/>
    <w:p>
      <w:pPr>
        <w:pStyle w:val="Heading2"/>
      </w:pPr>
      <w:r>
        <w:t xml:space="preserve">5. Efficiency and Case Management</w:t>
      </w:r>
    </w:p>
    <w:p>
      <w:pPr>
        <w:pStyle w:val="FirstParagraph"/>
      </w:pPr>
      <w:r>
        <w:t xml:space="preserve">The speed of justice is a key performance indicator for the judiciary. This</w:t>
      </w:r>
      <w:r>
        <w:t xml:space="preserve"> </w:t>
      </w:r>
      <w:r>
        <w:rPr>
          <w:bCs/>
          <w:b/>
        </w:rPr>
        <w:t xml:space="preserve">Peer Review Report</w:t>
      </w:r>
      <w:r>
        <w:t xml:space="preserve"> </w:t>
      </w:r>
      <w:r>
        <w:t xml:space="preserve">evaluated the</w:t>
      </w:r>
      <w:r>
        <w:t xml:space="preserve"> </w:t>
      </w:r>
      <w:r>
        <w:rPr>
          <w:bCs/>
          <w:b/>
        </w:rPr>
        <w:t xml:space="preserve">Judge</w:t>
      </w:r>
      <w:r>
        <w:t xml:space="preserve">'s ability to process cases within reasonable timeframes as mandated by the European Convention on Human Rights and German constitutional law.</w:t>
      </w:r>
    </w:p>
    <w:p>
      <w:pPr>
        <w:pStyle w:val="BodyText"/>
      </w:pPr>
      <w:r>
        <w:t xml:space="preserve">The</w:t>
      </w:r>
      <w:r>
        <w:t xml:space="preserve"> </w:t>
      </w:r>
      <w:r>
        <w:rPr>
          <w:bCs/>
          <w:b/>
        </w:rPr>
        <w:t xml:space="preserve">Judge</w:t>
      </w:r>
      <w:r>
        <w:t xml:space="preserve"> </w:t>
      </w:r>
      <w:r>
        <w:t xml:space="preserve">has a clearance rate of 92%, which is slightly above the average for the Landgericht München I. However, the average duration of complex civil cases under this</w:t>
      </w:r>
      <w:r>
        <w:t xml:space="preserve"> </w:t>
      </w:r>
      <w:r>
        <w:rPr>
          <w:bCs/>
          <w:b/>
        </w:rPr>
        <w:t xml:space="preserve">Judge</w:t>
      </w:r>
      <w:r>
        <w:t xml:space="preserve">'s purview is 18 months, which is marginally higher than the district average of 15 months. The delay appears to stem from a perfectionist approach to written judgments. While the quality of the rulings is high, the</w:t>
      </w:r>
      <w:r>
        <w:t xml:space="preserve"> </w:t>
      </w:r>
      <w:r>
        <w:rPr>
          <w:bCs/>
          <w:b/>
        </w:rPr>
        <w:t xml:space="preserve">Judge</w:t>
      </w:r>
      <w:r>
        <w:t xml:space="preserve"> </w:t>
      </w:r>
      <w:r>
        <w:t xml:space="preserve">is advised to prioritize the timely delivery of justice over exhaustive elaboration in cases where the legal outcome is relatively straightforward.</w:t>
      </w:r>
    </w:p>
    <w:p>
      <w:pPr>
        <w:pStyle w:val="BodyText"/>
      </w:pPr>
      <w:r>
        <w:t xml:space="preserve">To address this, the</w:t>
      </w:r>
      <w:r>
        <w:t xml:space="preserve"> </w:t>
      </w:r>
      <w:r>
        <w:rPr>
          <w:bCs/>
          <w:b/>
        </w:rPr>
        <w:t xml:space="preserve">Judge</w:t>
      </w:r>
      <w:r>
        <w:t xml:space="preserve"> </w:t>
      </w:r>
      <w:r>
        <w:t xml:space="preserve">is encouraged to utilize the digital case management systems available in</w:t>
      </w:r>
      <w:r>
        <w:t xml:space="preserve"> </w:t>
      </w:r>
      <w:r>
        <w:rPr>
          <w:bCs/>
          <w:b/>
        </w:rPr>
        <w:t xml:space="preserve">Germany Munich</w:t>
      </w:r>
      <w:r>
        <w:t xml:space="preserve"> </w:t>
      </w:r>
      <w:r>
        <w:t xml:space="preserve">more effectively to streamline administrative tasks and focus on substantive legal issues.</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Judge</w:t>
      </w:r>
      <w:r>
        <w:t xml:space="preserve"> </w:t>
      </w:r>
      <w:r>
        <w:t xml:space="preserve">is a highly competent and ethical legal professional who serves the judicial system of</w:t>
      </w:r>
      <w:r>
        <w:t xml:space="preserve"> </w:t>
      </w:r>
      <w:r>
        <w:rPr>
          <w:bCs/>
          <w:b/>
        </w:rPr>
        <w:t xml:space="preserve">Germany Munich</w:t>
      </w:r>
      <w:r>
        <w:t xml:space="preserve"> </w:t>
      </w:r>
      <w:r>
        <w:t xml:space="preserve">with distinction. The</w:t>
      </w:r>
      <w:r>
        <w:t xml:space="preserve"> </w:t>
      </w:r>
      <w:r>
        <w:rPr>
          <w:bCs/>
          <w:b/>
        </w:rPr>
        <w:t xml:space="preserve">Judge</w:t>
      </w:r>
      <w:r>
        <w:t xml:space="preserve">'s deep legal knowledge and commitment to impartiality are assets to the court.</w:t>
      </w:r>
    </w:p>
    <w:p>
      <w:pPr>
        <w:pStyle w:val="BodyText"/>
      </w:pPr>
      <w:r>
        <w:t xml:space="preserve">To further enhance performance, the following actions are recommended:</w:t>
      </w:r>
    </w:p>
    <w:p>
      <w:pPr>
        <w:numPr>
          <w:ilvl w:val="0"/>
          <w:numId w:val="1002"/>
        </w:numPr>
        <w:pStyle w:val="Compact"/>
      </w:pPr>
      <w:r>
        <w:t xml:space="preserve">Participate in a workshop on "Efficient Case Management in High-Volume Courts" offered by the Bavarian Judicial Academy.</w:t>
      </w:r>
    </w:p>
    <w:p>
      <w:pPr>
        <w:numPr>
          <w:ilvl w:val="0"/>
          <w:numId w:val="1002"/>
        </w:numPr>
        <w:pStyle w:val="Compact"/>
      </w:pPr>
      <w:r>
        <w:t xml:space="preserve">Engage in continuous professional development regarding cross-cultural communication to better serve the diverse population of</w:t>
      </w:r>
      <w:r>
        <w:t xml:space="preserve"> </w:t>
      </w:r>
      <w:r>
        <w:rPr>
          <w:bCs/>
          <w:b/>
        </w:rPr>
        <w:t xml:space="preserve">Germany Munich</w:t>
      </w:r>
      <w:r>
        <w:t xml:space="preserve">.</w:t>
      </w:r>
    </w:p>
    <w:p>
      <w:pPr>
        <w:numPr>
          <w:ilvl w:val="0"/>
          <w:numId w:val="1002"/>
        </w:numPr>
        <w:pStyle w:val="Compact"/>
      </w:pPr>
      <w:r>
        <w:t xml:space="preserve">Implement a stricter internal timeline for drafting judgments to reduce the average case duration.</w:t>
      </w:r>
    </w:p>
    <w:p>
      <w:pPr>
        <w:pStyle w:val="FirstParagraph"/>
      </w:pPr>
      <w:r>
        <w:t xml:space="preserve">The</w:t>
      </w:r>
      <w:r>
        <w:t xml:space="preserve"> </w:t>
      </w:r>
      <w:r>
        <w:rPr>
          <w:bCs/>
          <w:b/>
        </w:rPr>
        <w:t xml:space="preserve">Judge</w:t>
      </w:r>
      <w:r>
        <w:t xml:space="preserve"> </w:t>
      </w:r>
      <w:r>
        <w:t xml:space="preserve">is expected to submit a brief response to these recommendations within 30 days. This report will be filed in the</w:t>
      </w:r>
      <w:r>
        <w:t xml:space="preserve"> </w:t>
      </w:r>
      <w:r>
        <w:rPr>
          <w:bCs/>
          <w:b/>
        </w:rPr>
        <w:t xml:space="preserve">Judge</w:t>
      </w:r>
      <w:r>
        <w:t xml:space="preserve">'s personnel record and will serve as a baseline for the next annual evaluation.</w:t>
      </w:r>
    </w:p>
    <w:bookmarkEnd w:id="26"/>
    <w:p>
      <w:pPr>
        <w:pStyle w:val="BodyText"/>
      </w:pPr>
      <w:r>
        <w:rPr>
          <w:bCs/>
          <w:b/>
        </w:rPr>
        <w:t xml:space="preserve">Authorized Signature:</w:t>
      </w:r>
      <w:r>
        <w:t xml:space="preserve"> </w:t>
      </w:r>
      <w:r>
        <w:t xml:space="preserve">Dr. Hans Weber, Head of Judicial Oversight</w:t>
      </w:r>
      <w:r>
        <w:br/>
      </w:r>
      <w:r>
        <w:rPr>
          <w:bCs/>
          <w:b/>
        </w:rPr>
        <w:t xml:space="preserve">Location:</w:t>
      </w:r>
      <w:r>
        <w:t xml:space="preserve"> </w:t>
      </w:r>
      <w:r>
        <w:t xml:space="preserve">Munich, Bavaria, Germany</w:t>
      </w:r>
      <w:r>
        <w:br/>
      </w:r>
      <w:r>
        <w:rPr>
          <w:bCs/>
          <w:b/>
        </w:rPr>
        <w:t xml:space="preserve">Document ID:</w:t>
      </w:r>
      <w:r>
        <w:t xml:space="preserve"> </w:t>
      </w:r>
      <w:r>
        <w:t xml:space="preserve">PR-2023-MUC-JD-8842</w:t>
      </w:r>
    </w:p>
    <w:p>
      <w:pPr>
        <w:pStyle w:val="BodyText"/>
      </w:pPr>
      <w:r>
        <w:t xml:space="preserve">© 2023 Judicial Oversight Committee, Landgericht München 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2026-10-10T08:38:13Z</dcterms:created>
  <dcterms:modified xsi:type="dcterms:W3CDTF">2026-10-10T08:38:13Z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