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w:t>
      </w:r>
      <w:r>
        <w:t xml:space="preserve"> </w:t>
      </w:r>
      <w:r>
        <w:t xml:space="preserve">Mumbai</w:t>
      </w:r>
    </w:p>
    <w:bookmarkStart w:id="31" w:name="peer-review-report"/>
    <w:p>
      <w:pPr>
        <w:pStyle w:val="Heading1"/>
      </w:pPr>
      <w:r>
        <w:t xml:space="preserve">Peer Review Report</w:t>
      </w:r>
    </w:p>
    <w:p>
      <w:pPr>
        <w:pStyle w:val="FirstParagraph"/>
      </w:pPr>
      <w:r>
        <w:t xml:space="preserve">Judicial Performance Evaluation &amp; Professional Conduct Assessment</w:t>
      </w:r>
    </w:p>
    <w:p>
      <w:pPr>
        <w:pStyle w:val="BodyText"/>
      </w:pPr>
      <w:r>
        <w:rPr>
          <w:bCs/>
          <w:b/>
        </w:rPr>
        <w:t xml:space="preserve">Subject:</w:t>
      </w:r>
      <w:r>
        <w:t xml:space="preserve"> </w:t>
      </w:r>
      <w:r>
        <w:t xml:space="preserve">Honorable Judge [Name Redacted]</w:t>
      </w:r>
      <w:r>
        <w:br/>
      </w:r>
      <w:r>
        <w:rPr>
          <w:bCs/>
          <w:b/>
        </w:rPr>
        <w:t xml:space="preserve">Designation:</w:t>
      </w:r>
      <w:r>
        <w:t xml:space="preserve"> </w:t>
      </w:r>
      <w:r>
        <w:t xml:space="preserve">Additional District &amp; Sessions Judge</w:t>
      </w:r>
      <w:r>
        <w:br/>
      </w:r>
      <w:r>
        <w:rPr>
          <w:bCs/>
          <w:b/>
        </w:rPr>
        <w:t xml:space="preserve">Location:</w:t>
      </w:r>
      <w:r>
        <w:t xml:space="preserve"> </w:t>
      </w:r>
      <w:r>
        <w:t xml:space="preserve">Bombay High Court / District Courts, Mumbai, Maharashtra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 Committee:</w:t>
      </w:r>
      <w:r>
        <w:t xml:space="preserve"> </w:t>
      </w:r>
      <w:r>
        <w:t xml:space="preserve">Senior Judicial Peer Panel</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competence, judicial temperament, and administrative efficiency of the subject</w:t>
      </w:r>
      <w:r>
        <w:t xml:space="preserve"> </w:t>
      </w:r>
      <w:r>
        <w:rPr>
          <w:bCs/>
          <w:b/>
        </w:rPr>
        <w:t xml:space="preserve">Judge</w:t>
      </w:r>
      <w:r>
        <w:t xml:space="preserve"> </w:t>
      </w:r>
      <w:r>
        <w:t xml:space="preserve">serving within the jurisdiction of</w:t>
      </w:r>
      <w:r>
        <w:t xml:space="preserve"> </w:t>
      </w:r>
      <w:r>
        <w:rPr>
          <w:bCs/>
          <w:b/>
        </w:rPr>
        <w:t xml:space="preserve">India Mumbai</w:t>
      </w:r>
      <w:r>
        <w:t xml:space="preserve">. The review process adheres to the standards set forth by the National Judicial Appointments Commission (NJAC) guidelines and the internal protocols of the Bombay High Court. The primary objective is to ensure that the judiciary in Mumbai maintains the highest standards of integrity, impartiality, and diligence, reflecting the complex legal landscape of India's financial capital.</w:t>
      </w:r>
    </w:p>
    <w:p>
      <w:pPr>
        <w:pStyle w:val="BodyText"/>
      </w:pPr>
      <w:r>
        <w:t xml:space="preserve">The evaluation covers a nine-month period during which the</w:t>
      </w:r>
      <w:r>
        <w:t xml:space="preserve"> </w:t>
      </w:r>
      <w:r>
        <w:rPr>
          <w:bCs/>
          <w:b/>
        </w:rPr>
        <w:t xml:space="preserve">Judge</w:t>
      </w:r>
      <w:r>
        <w:t xml:space="preserve"> </w:t>
      </w:r>
      <w:r>
        <w:t xml:space="preserve">presided over a diverse docket including civil disputes, criminal sessions, and commercial litigation. The findings indicate a generally high level of performance, with specific areas identified for professional development regarding case disposal rates and courtroom management.</w:t>
      </w:r>
    </w:p>
    <w:bookmarkEnd w:id="20"/>
    <w:bookmarkStart w:id="21" w:name="X4b2275ef66181dab62b0794fefd4a67621fb774"/>
    <w:p>
      <w:pPr>
        <w:pStyle w:val="Heading2"/>
      </w:pPr>
      <w:r>
        <w:t xml:space="preserve">2. Contextual Framework: The Mumbai Judiciary</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India Mumbai</w:t>
      </w:r>
      <w:r>
        <w:t xml:space="preserve"> </w:t>
      </w:r>
      <w:r>
        <w:t xml:space="preserve">is uniquely demanding. As the commercial hub of the nation, Mumbai courts face an unprecedented volume of litigation involving corporate law, property disputes, and high-profile criminal cases. The pressure to deliver timely justice while navigating a congested legal infrastructure requires exceptional skill. This</w:t>
      </w:r>
      <w:r>
        <w:t xml:space="preserve"> </w:t>
      </w:r>
      <w:r>
        <w:rPr>
          <w:bCs/>
          <w:b/>
        </w:rPr>
        <w:t xml:space="preserve">Peer Review Report</w:t>
      </w:r>
      <w:r>
        <w:t xml:space="preserve"> </w:t>
      </w:r>
      <w:r>
        <w:t xml:space="preserve">contextualizes the subject's performance against these specific regional challenges.</w:t>
      </w:r>
    </w:p>
    <w:p>
      <w:pPr>
        <w:pStyle w:val="BodyText"/>
      </w:pPr>
      <w:r>
        <w:t xml:space="preserve">The review panel acknowledges that the</w:t>
      </w:r>
      <w:r>
        <w:t xml:space="preserve"> </w:t>
      </w:r>
      <w:r>
        <w:rPr>
          <w:bCs/>
          <w:b/>
        </w:rPr>
        <w:t xml:space="preserve">Judge</w:t>
      </w:r>
      <w:r>
        <w:t xml:space="preserve"> </w:t>
      </w:r>
      <w:r>
        <w:t xml:space="preserve">operates within a system where backlog reduction is a national priority. Therefore, metrics regarding case management are weighted heavily in this assessment. Furthermore, the cultural and linguistic diversity of Mumbai necessitates that the</w:t>
      </w:r>
      <w:r>
        <w:t xml:space="preserve"> </w:t>
      </w:r>
      <w:r>
        <w:rPr>
          <w:bCs/>
          <w:b/>
        </w:rPr>
        <w:t xml:space="preserve">Judge</w:t>
      </w:r>
      <w:r>
        <w:t xml:space="preserve"> </w:t>
      </w:r>
      <w:r>
        <w:t xml:space="preserve">demonstrates sensitivity and adaptability when interacting with litigants, counsel, and witnesses from varied backgrounds.</w:t>
      </w:r>
    </w:p>
    <w:bookmarkEnd w:id="21"/>
    <w:bookmarkStart w:id="24" w:name="assessment-of-judicial-competence"/>
    <w:p>
      <w:pPr>
        <w:pStyle w:val="Heading2"/>
      </w:pPr>
      <w:r>
        <w:t xml:space="preserve">3. Assessment of Judicial Competence</w:t>
      </w:r>
    </w:p>
    <w:bookmarkStart w:id="22" w:name="legal-knowledge-and-application"/>
    <w:p>
      <w:pPr>
        <w:pStyle w:val="Heading3"/>
      </w:pPr>
      <w:r>
        <w:t xml:space="preserve">3.1 Legal Knowledge and Application</w:t>
      </w:r>
    </w:p>
    <w:p>
      <w:pPr>
        <w:pStyle w:val="FirstParagraph"/>
      </w:pPr>
      <w:r>
        <w:t xml:space="preserve">The subject</w:t>
      </w:r>
      <w:r>
        <w:t xml:space="preserve"> </w:t>
      </w:r>
      <w:r>
        <w:rPr>
          <w:bCs/>
          <w:b/>
        </w:rPr>
        <w:t xml:space="preserve">Judge</w:t>
      </w:r>
      <w:r>
        <w:t xml:space="preserve"> </w:t>
      </w:r>
      <w:r>
        <w:t xml:space="preserve">demonstrates a robust understanding of Indian statutory law, particularly the Code of Civil Procedure (CPC), the Code of Criminal Procedure (CrPC), and the Indian Penal Code (IPC). During observed proceedings in Mumbai, the</w:t>
      </w:r>
      <w:r>
        <w:t xml:space="preserve"> </w:t>
      </w:r>
      <w:r>
        <w:rPr>
          <w:bCs/>
          <w:b/>
        </w:rPr>
        <w:t xml:space="preserve">Judge</w:t>
      </w:r>
      <w:r>
        <w:t xml:space="preserve"> </w:t>
      </w:r>
      <w:r>
        <w:t xml:space="preserve">displayed the ability to quickly identify material facts and apply relevant precedents set by the Bombay High Court and the Supreme Court of India.</w:t>
      </w:r>
    </w:p>
    <w:p>
      <w:pPr>
        <w:pStyle w:val="BodyText"/>
      </w:pPr>
      <w:r>
        <w:t xml:space="preserve">Notably, in complex commercial matters, the</w:t>
      </w:r>
      <w:r>
        <w:t xml:space="preserve"> </w:t>
      </w:r>
      <w:r>
        <w:rPr>
          <w:bCs/>
          <w:b/>
        </w:rPr>
        <w:t xml:space="preserve">Judge</w:t>
      </w:r>
      <w:r>
        <w:t xml:space="preserve"> </w:t>
      </w:r>
      <w:r>
        <w:t xml:space="preserve">showed proficiency in interpreting contract law and arbitration clauses, which is critical for the business environment of Mumbai. The reasoning provided in interim orders was logical, well-structured, and legally sound.</w:t>
      </w:r>
    </w:p>
    <w:bookmarkEnd w:id="22"/>
    <w:bookmarkStart w:id="23" w:name="drafting-and-clarity-of-orders"/>
    <w:p>
      <w:pPr>
        <w:pStyle w:val="Heading3"/>
      </w:pPr>
      <w:r>
        <w:t xml:space="preserve">3.2 Drafting and Clarity of Orders</w:t>
      </w:r>
    </w:p>
    <w:p>
      <w:pPr>
        <w:pStyle w:val="FirstParagraph"/>
      </w:pPr>
      <w:r>
        <w:t xml:space="preserve">The quality of written judgments is a cornerstone of judicial integrity. This</w:t>
      </w:r>
      <w:r>
        <w:t xml:space="preserve"> </w:t>
      </w:r>
      <w:r>
        <w:rPr>
          <w:bCs/>
          <w:b/>
        </w:rPr>
        <w:t xml:space="preserve">Peer Review Report</w:t>
      </w:r>
      <w:r>
        <w:t xml:space="preserve"> </w:t>
      </w:r>
      <w:r>
        <w:t xml:space="preserve">notes that the</w:t>
      </w:r>
      <w:r>
        <w:t xml:space="preserve"> </w:t>
      </w:r>
      <w:r>
        <w:rPr>
          <w:bCs/>
          <w:b/>
        </w:rPr>
        <w:t xml:space="preserve">Judge</w:t>
      </w:r>
      <w:r>
        <w:t xml:space="preserve">'s orders are concise and articulate. The language used is precise, minimizing ambiguity for the parties involved. However, in a few instances involving lengthy criminal trials, the delay in pronouncing final judgments was noted, which is a concern given the urgency often required in criminal justice in Mumbai.</w:t>
      </w:r>
    </w:p>
    <w:bookmarkEnd w:id="23"/>
    <w:bookmarkEnd w:id="24"/>
    <w:bookmarkStart w:id="27" w:name="judicial-temperament-and-conduct"/>
    <w:p>
      <w:pPr>
        <w:pStyle w:val="Heading2"/>
      </w:pPr>
      <w:r>
        <w:t xml:space="preserve">4. Judicial Temperament and Conduct</w:t>
      </w:r>
    </w:p>
    <w:bookmarkStart w:id="25" w:name="impartiality-and-fairness"/>
    <w:p>
      <w:pPr>
        <w:pStyle w:val="Heading3"/>
      </w:pPr>
      <w:r>
        <w:t xml:space="preserve">4.1 Impartiality and Fairness</w:t>
      </w:r>
    </w:p>
    <w:p>
      <w:pPr>
        <w:pStyle w:val="FirstParagraph"/>
      </w:pPr>
      <w:r>
        <w:t xml:space="preserve">Impartiality is the bedrock of the judiciary. Throughout the review period, the</w:t>
      </w:r>
      <w:r>
        <w:t xml:space="preserve"> </w:t>
      </w:r>
      <w:r>
        <w:rPr>
          <w:bCs/>
          <w:b/>
        </w:rPr>
        <w:t xml:space="preserve">Judge</w:t>
      </w:r>
      <w:r>
        <w:t xml:space="preserve"> </w:t>
      </w:r>
      <w:r>
        <w:t xml:space="preserve">maintained a demeanor of neutrality. There were no recorded complaints of bias or favoritism. The</w:t>
      </w:r>
      <w:r>
        <w:t xml:space="preserve"> </w:t>
      </w:r>
      <w:r>
        <w:rPr>
          <w:bCs/>
          <w:b/>
        </w:rPr>
        <w:t xml:space="preserve">Judge</w:t>
      </w:r>
      <w:r>
        <w:t xml:space="preserve"> </w:t>
      </w:r>
      <w:r>
        <w:t xml:space="preserve">ensured that both prosecution and defense, or plaintiff and defendant, were given equal opportunity to present their cases. This is particularly vital in Mumbai, where high-stakes litigation can sometimes lead to attempts to influence judicial outcomes.</w:t>
      </w:r>
    </w:p>
    <w:bookmarkEnd w:id="25"/>
    <w:bookmarkStart w:id="26" w:name="courtroom-management"/>
    <w:p>
      <w:pPr>
        <w:pStyle w:val="Heading3"/>
      </w:pPr>
      <w:r>
        <w:t xml:space="preserve">4.2 Courtroom Management</w:t>
      </w:r>
    </w:p>
    <w:p>
      <w:pPr>
        <w:pStyle w:val="FirstParagraph"/>
      </w:pPr>
      <w:r>
        <w:t xml:space="preserve">The</w:t>
      </w:r>
      <w:r>
        <w:t xml:space="preserve"> </w:t>
      </w:r>
      <w:r>
        <w:rPr>
          <w:bCs/>
          <w:b/>
        </w:rPr>
        <w:t xml:space="preserve">Judge</w:t>
      </w:r>
      <w:r>
        <w:t xml:space="preserve"> </w:t>
      </w:r>
      <w:r>
        <w:t xml:space="preserve">generally maintains order and decorum in the courtroom. However, this</w:t>
      </w:r>
      <w:r>
        <w:t xml:space="preserve"> </w:t>
      </w:r>
      <w:r>
        <w:rPr>
          <w:bCs/>
          <w:b/>
        </w:rPr>
        <w:t xml:space="preserve">Peer Review Report</w:t>
      </w:r>
      <w:r>
        <w:t xml:space="preserve"> </w:t>
      </w:r>
      <w:r>
        <w:t xml:space="preserve">identifies a need for improvement in managing aggressive counsel. On several occasions, the</w:t>
      </w:r>
      <w:r>
        <w:t xml:space="preserve"> </w:t>
      </w:r>
      <w:r>
        <w:rPr>
          <w:bCs/>
          <w:b/>
        </w:rPr>
        <w:t xml:space="preserve">Judge</w:t>
      </w:r>
      <w:r>
        <w:t xml:space="preserve"> </w:t>
      </w:r>
      <w:r>
        <w:t xml:space="preserve">appeared hesitant to curb interruptions or irrelevant arguments, leading to prolonged hearings. Effective courtroom management is essential to optimize the limited time available in Mumbai's busy courtrooms.</w:t>
      </w:r>
    </w:p>
    <w:bookmarkEnd w:id="26"/>
    <w:bookmarkEnd w:id="27"/>
    <w:bookmarkStart w:id="28" w:name="X3bd0613ce16772a830bd1368887227fb7830aa7"/>
    <w:p>
      <w:pPr>
        <w:pStyle w:val="Heading2"/>
      </w:pPr>
      <w:r>
        <w:t xml:space="preserve">5. Administrative Efficiency and Case Management</w:t>
      </w:r>
    </w:p>
    <w:p>
      <w:pPr>
        <w:pStyle w:val="FirstParagraph"/>
      </w:pPr>
      <w:r>
        <w:t xml:space="preserve">The efficiency of a</w:t>
      </w:r>
      <w:r>
        <w:t xml:space="preserve"> </w:t>
      </w:r>
      <w:r>
        <w:rPr>
          <w:bCs/>
          <w:b/>
        </w:rPr>
        <w:t xml:space="preserve">Judge</w:t>
      </w:r>
      <w:r>
        <w:t xml:space="preserve"> </w:t>
      </w:r>
      <w:r>
        <w:t xml:space="preserve">is measured by their ability to progress cases toward resolution. The data collected for this</w:t>
      </w:r>
      <w:r>
        <w:t xml:space="preserve"> </w:t>
      </w:r>
      <w:r>
        <w:rPr>
          <w:bCs/>
          <w:b/>
        </w:rPr>
        <w:t xml:space="preserve">Peer Review Report</w:t>
      </w:r>
      <w:r>
        <w:t xml:space="preserve"> </w:t>
      </w:r>
      <w:r>
        <w:t xml:space="preserve">indicates that the subject has a disposal rate slightly below the average for their peers in the Mumbai district courts.</w:t>
      </w:r>
    </w:p>
    <w:p>
      <w:pPr>
        <w:numPr>
          <w:ilvl w:val="0"/>
          <w:numId w:val="1001"/>
        </w:numPr>
        <w:pStyle w:val="Compact"/>
      </w:pPr>
      <w:r>
        <w:rPr>
          <w:bCs/>
          <w:b/>
        </w:rPr>
        <w:t xml:space="preserve">Case Disposal Rate:</w:t>
      </w:r>
      <w:r>
        <w:t xml:space="preserve"> </w:t>
      </w:r>
      <w:r>
        <w:t xml:space="preserve">85% of the expected monthly target.</w:t>
      </w:r>
    </w:p>
    <w:p>
      <w:pPr>
        <w:numPr>
          <w:ilvl w:val="0"/>
          <w:numId w:val="1001"/>
        </w:numPr>
        <w:pStyle w:val="Compact"/>
      </w:pPr>
      <w:r>
        <w:rPr>
          <w:bCs/>
          <w:b/>
        </w:rPr>
        <w:t xml:space="preserve">Adjournment Management:</w:t>
      </w:r>
      <w:r>
        <w:t xml:space="preserve"> </w:t>
      </w:r>
      <w:r>
        <w:t xml:space="preserve">A tendency to grant adjournments for minor procedural issues was observed. Stricter adherence to the "case management" protocols recommended by the Bombay High Court is advised.</w:t>
      </w:r>
    </w:p>
    <w:p>
      <w:pPr>
        <w:numPr>
          <w:ilvl w:val="0"/>
          <w:numId w:val="1001"/>
        </w:numPr>
        <w:pStyle w:val="Compact"/>
      </w:pPr>
      <w:r>
        <w:rPr>
          <w:bCs/>
          <w:b/>
        </w:rPr>
        <w:t xml:space="preserve">Use of Technology:</w:t>
      </w:r>
      <w:r>
        <w:t xml:space="preserve"> </w:t>
      </w:r>
      <w:r>
        <w:t xml:space="preserve">The</w:t>
      </w:r>
      <w:r>
        <w:t xml:space="preserve"> </w:t>
      </w:r>
      <w:r>
        <w:rPr>
          <w:bCs/>
          <w:b/>
        </w:rPr>
        <w:t xml:space="preserve">Judge</w:t>
      </w:r>
      <w:r>
        <w:t xml:space="preserve"> </w:t>
      </w:r>
      <w:r>
        <w:t xml:space="preserve">has adapted well to the e-filing and virtual hearing systems implemented in India, ensuring continuity of justice even during disruptions.</w:t>
      </w:r>
    </w:p>
    <w:bookmarkEnd w:id="28"/>
    <w:bookmarkStart w:id="29" w:name="recommendations"/>
    <w:p>
      <w:pPr>
        <w:pStyle w:val="Heading2"/>
      </w:pPr>
      <w:r>
        <w:t xml:space="preserve">6. Recommendations</w:t>
      </w:r>
    </w:p>
    <w:p>
      <w:pPr>
        <w:pStyle w:val="FirstParagraph"/>
      </w:pPr>
      <w:r>
        <w:t xml:space="preserve">Based on the comprehensive analysis in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 </w:t>
      </w:r>
      <w:r>
        <w:t xml:space="preserve">to enhance their performance within the Mumbai judicial system:</w:t>
      </w:r>
    </w:p>
    <w:p>
      <w:pPr>
        <w:numPr>
          <w:ilvl w:val="0"/>
          <w:numId w:val="1002"/>
        </w:numPr>
        <w:pStyle w:val="Compact"/>
      </w:pPr>
      <w:r>
        <w:rPr>
          <w:bCs/>
          <w:b/>
        </w:rPr>
        <w:t xml:space="preserve">Enhance Case Management Skills:</w:t>
      </w:r>
      <w:r>
        <w:t xml:space="preserve"> </w:t>
      </w:r>
      <w:r>
        <w:t xml:space="preserve">Attend workshops on effective case management to reduce unnecessary adjournments and accelerate the disposal of pending matters.</w:t>
      </w:r>
    </w:p>
    <w:p>
      <w:pPr>
        <w:numPr>
          <w:ilvl w:val="0"/>
          <w:numId w:val="1002"/>
        </w:numPr>
        <w:pStyle w:val="Compact"/>
      </w:pPr>
      <w:r>
        <w:rPr>
          <w:bCs/>
          <w:b/>
        </w:rPr>
        <w:t xml:space="preserve">Strengthen Courtroom Authority:</w:t>
      </w:r>
      <w:r>
        <w:t xml:space="preserve"> </w:t>
      </w:r>
      <w:r>
        <w:t xml:space="preserve">Develop strategies to firmly but politely control courtroom proceedings, ensuring that hearings remain focused and efficient.</w:t>
      </w:r>
    </w:p>
    <w:p>
      <w:pPr>
        <w:numPr>
          <w:ilvl w:val="0"/>
          <w:numId w:val="1002"/>
        </w:numPr>
        <w:pStyle w:val="Compact"/>
      </w:pPr>
      <w:r>
        <w:rPr>
          <w:bCs/>
          <w:b/>
        </w:rPr>
        <w:t xml:space="preserve">Timely Judgments:</w:t>
      </w:r>
      <w:r>
        <w:t xml:space="preserve"> </w:t>
      </w:r>
      <w:r>
        <w:t xml:space="preserve">Prioritize the drafting of final judgments in criminal cases to align with the constitutional mandate of speedy trial.</w:t>
      </w:r>
    </w:p>
    <w:p>
      <w:pPr>
        <w:numPr>
          <w:ilvl w:val="0"/>
          <w:numId w:val="1002"/>
        </w:numPr>
        <w:pStyle w:val="Compact"/>
      </w:pPr>
      <w:r>
        <w:rPr>
          <w:bCs/>
          <w:b/>
        </w:rPr>
        <w:t xml:space="preserve">Continuing Legal Education:</w:t>
      </w:r>
      <w:r>
        <w:t xml:space="preserve"> </w:t>
      </w:r>
      <w:r>
        <w:t xml:space="preserve">Engage in specialized training regarding emerging areas of law relevant to Mumbai, such as cybercrime and fintech regulations.</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Judge</w:t>
      </w:r>
      <w:r>
        <w:t xml:space="preserve"> </w:t>
      </w:r>
      <w:r>
        <w:t xml:space="preserve">is a dedicated and competent legal professional serving the people of</w:t>
      </w:r>
      <w:r>
        <w:t xml:space="preserve"> </w:t>
      </w:r>
      <w:r>
        <w:rPr>
          <w:bCs/>
          <w:b/>
        </w:rPr>
        <w:t xml:space="preserve">India Mumbai</w:t>
      </w:r>
      <w:r>
        <w:t xml:space="preserve">. While there are areas requiring improvement, particularly in administrative efficiency and courtroom assertiveness, the overall assessment is positive. The</w:t>
      </w:r>
      <w:r>
        <w:t xml:space="preserve"> </w:t>
      </w:r>
      <w:r>
        <w:rPr>
          <w:bCs/>
          <w:b/>
        </w:rPr>
        <w:t xml:space="preserve">Judge</w:t>
      </w:r>
      <w:r>
        <w:t xml:space="preserve"> </w:t>
      </w:r>
      <w:r>
        <w:t xml:space="preserve">possesses the legal acumen and ethical grounding necessary to uphold the rule of law. With the implementation of the recommended measures, the</w:t>
      </w:r>
      <w:r>
        <w:t xml:space="preserve"> </w:t>
      </w:r>
      <w:r>
        <w:rPr>
          <w:bCs/>
          <w:b/>
        </w:rPr>
        <w:t xml:space="preserve">Judge</w:t>
      </w:r>
      <w:r>
        <w:t xml:space="preserve"> </w:t>
      </w:r>
      <w:r>
        <w:t xml:space="preserve">is well-positioned to contribute significantly to the reduction of judicial backlog and the enhancement of public confidence in the Mumbai judiciary.</w:t>
      </w:r>
    </w:p>
    <w:p>
      <w:pPr>
        <w:pStyle w:val="BodyText"/>
      </w:pPr>
      <w:r>
        <w:rPr>
          <w:bCs/>
          <w:b/>
        </w:rPr>
        <w:t xml:space="preserve">Justice [Name Redacted]</w:t>
      </w:r>
      <w:r>
        <w:br/>
      </w:r>
      <w:r>
        <w:t xml:space="preserve">Chairperson, Peer Review Committee</w:t>
      </w:r>
      <w:r>
        <w:br/>
      </w:r>
      <w:r>
        <w:t xml:space="preserve">Bombay High Court</w:t>
      </w:r>
    </w:p>
    <w:p>
      <w:pPr>
        <w:pStyle w:val="BodyText"/>
      </w:pPr>
      <w:r>
        <w:rPr>
          <w:bCs/>
          <w:b/>
        </w:rPr>
        <w:t xml:space="preserve">Justice [Name Redacted]</w:t>
      </w:r>
      <w:r>
        <w:br/>
      </w:r>
      <w:r>
        <w:t xml:space="preserve">Member, Peer Review Committee</w:t>
      </w:r>
      <w:r>
        <w:br/>
      </w:r>
      <w:r>
        <w:t xml:space="preserve">Bombay High Court</w:t>
      </w:r>
    </w:p>
    <w:p>
      <w:pPr>
        <w:pStyle w:val="BodyText"/>
      </w:pPr>
      <w:r>
        <w:t xml:space="preserve">This document is confidential and intended solely for the use of the judicial administration and the subject Judge. Unauthorized distribution is prohibited under the Official Secrets Act and judicial conduct regulations.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 Mumbai</dc:title>
  <dc:creator/>
  <dc:language>en</dc:language>
  <cp:keywords/>
  <dcterms:created xsi:type="dcterms:W3CDTF">2026-10-10T04:18:13Z</dcterms:created>
  <dcterms:modified xsi:type="dcterms:W3CDTF">2026-10-10T04:18:13Z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