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Judicial Conduct and Performance</w:t>
      </w:r>
    </w:p>
    <w:p>
      <w:pPr>
        <w:pStyle w:val="BodyText"/>
      </w:pPr>
      <w:r>
        <w:rPr>
          <w:bCs/>
          <w:b/>
        </w:rPr>
        <w:t xml:space="preserve">Role:</w:t>
      </w:r>
      <w:r>
        <w:t xml:space="preserve"> </w:t>
      </w:r>
      <w:r>
        <w:t xml:space="preserve">Judge</w:t>
      </w:r>
    </w:p>
    <w:p>
      <w:pPr>
        <w:pStyle w:val="BodyText"/>
      </w:pPr>
      <w:r>
        <w:rPr>
          <w:bCs/>
          <w:b/>
        </w:rPr>
        <w:t xml:space="preserve">Jurisdiction:</w:t>
      </w:r>
      <w:r>
        <w:t xml:space="preserve"> </w:t>
      </w:r>
      <w:r>
        <w:t xml:space="preserve">India New Delhi (Delhi High Court / District Courts)</w:t>
      </w:r>
    </w:p>
    <w:bookmarkEnd w:id="20"/>
    <w:p>
      <w:pPr>
        <w:pStyle w:val="BodyText"/>
      </w:pPr>
      <w:r>
        <w:t xml:space="preserve">Report ID:</w:t>
      </w:r>
      <w:r>
        <w:t xml:space="preserve"> </w:t>
      </w:r>
      <w:r>
        <w:t xml:space="preserve">PRR-DHC-2023-089</w:t>
      </w:r>
    </w:p>
    <w:p>
      <w:pPr>
        <w:pStyle w:val="BodyText"/>
      </w:pPr>
      <w:r>
        <w:t xml:space="preserve">Date of Review:</w:t>
      </w:r>
      <w:r>
        <w:t xml:space="preserve"> </w:t>
      </w:r>
      <w:r>
        <w:t xml:space="preserve">October 24, 2023</w:t>
      </w:r>
    </w:p>
    <w:p>
      <w:pPr>
        <w:pStyle w:val="BodyText"/>
      </w:pPr>
      <w:r>
        <w:t xml:space="preserve">Review Panel:</w:t>
      </w:r>
      <w:r>
        <w:t xml:space="preserve"> </w:t>
      </w:r>
      <w:r>
        <w:t xml:space="preserve">Senior Judicial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assess the professional competence, ethical standing, and administrative efficiency of a</w:t>
      </w:r>
      <w:r>
        <w:t xml:space="preserve"> </w:t>
      </w:r>
      <w:r>
        <w:rPr>
          <w:bCs/>
          <w:b/>
        </w:rPr>
        <w:t xml:space="preserve">Judge</w:t>
      </w:r>
      <w:r>
        <w:t xml:space="preserve"> </w:t>
      </w:r>
      <w:r>
        <w:t xml:space="preserve">serving within the judicial framework of</w:t>
      </w:r>
      <w:r>
        <w:t xml:space="preserve"> </w:t>
      </w:r>
      <w:r>
        <w:rPr>
          <w:bCs/>
          <w:b/>
        </w:rPr>
        <w:t xml:space="preserve">India New Delhi</w:t>
      </w:r>
      <w:r>
        <w:t xml:space="preserve">. The review process adheres to the standards set forth by the Supreme Court of India and the Delhi High Court, focusing on the maintenance of judicial integrity, the quality of legal reasoning, and the management of case backlogs.</w:t>
      </w:r>
    </w:p>
    <w:p>
      <w:pPr>
        <w:pStyle w:val="BodyText"/>
      </w:pPr>
      <w:r>
        <w:t xml:space="preserve">The evaluation covers a period of twelve months, analyzing a sample of 150 judgments, courtroom conduct observations, and feedback from legal practitioners. The primary objective is to ensure that the judiciary in</w:t>
      </w:r>
      <w:r>
        <w:t xml:space="preserve"> </w:t>
      </w:r>
      <w:r>
        <w:rPr>
          <w:bCs/>
          <w:b/>
        </w:rPr>
        <w:t xml:space="preserve">India New Delhi</w:t>
      </w:r>
      <w:r>
        <w:t xml:space="preserve"> </w:t>
      </w:r>
      <w:r>
        <w:t xml:space="preserve">continues to uphold the rule of law with impartiality and speed. The overall assessment indicates a high level of proficiency, with specific areas identified for procedural optimization.</w:t>
      </w:r>
    </w:p>
    <w:bookmarkEnd w:id="21"/>
    <w:bookmarkStart w:id="22" w:name="scope-and-methodology"/>
    <w:p>
      <w:pPr>
        <w:pStyle w:val="Heading2"/>
      </w:pPr>
      <w:r>
        <w:t xml:space="preserve">2. Scope and Methodology</w:t>
      </w:r>
    </w:p>
    <w:p>
      <w:pPr>
        <w:pStyle w:val="FirstParagraph"/>
      </w:pPr>
      <w:r>
        <w:t xml:space="preserve">The methodology for this</w:t>
      </w:r>
      <w:r>
        <w:t xml:space="preserve"> </w:t>
      </w:r>
      <w:r>
        <w:rPr>
          <w:bCs/>
          <w:b/>
        </w:rPr>
        <w:t xml:space="preserve">Peer Review Report</w:t>
      </w:r>
      <w:r>
        <w:t xml:space="preserve"> </w:t>
      </w:r>
      <w:r>
        <w:t xml:space="preserve">involved a multi-faceted approach to ensure a comprehensive evaluation of the</w:t>
      </w:r>
      <w:r>
        <w:t xml:space="preserve"> </w:t>
      </w:r>
      <w:r>
        <w:rPr>
          <w:bCs/>
          <w:b/>
        </w:rPr>
        <w:t xml:space="preserve">Judge</w:t>
      </w:r>
      <w:r>
        <w:t xml:space="preserve">. The review panel, consisting of three senior judges from the Delhi High Court, utilized the following metrics:</w:t>
      </w:r>
    </w:p>
    <w:p>
      <w:pPr>
        <w:numPr>
          <w:ilvl w:val="0"/>
          <w:numId w:val="1001"/>
        </w:numPr>
        <w:pStyle w:val="Compact"/>
      </w:pPr>
      <w:r>
        <w:rPr>
          <w:bCs/>
          <w:b/>
        </w:rPr>
        <w:t xml:space="preserve">Judgment Analysis:</w:t>
      </w:r>
      <w:r>
        <w:t xml:space="preserve"> </w:t>
      </w:r>
      <w:r>
        <w:t xml:space="preserve">A detailed review of written orders and judgments to assess legal accuracy, clarity of language, and adherence to precedents.</w:t>
      </w:r>
    </w:p>
    <w:p>
      <w:pPr>
        <w:numPr>
          <w:ilvl w:val="0"/>
          <w:numId w:val="1001"/>
        </w:numPr>
        <w:pStyle w:val="Compact"/>
      </w:pPr>
      <w:r>
        <w:rPr>
          <w:bCs/>
          <w:b/>
        </w:rPr>
        <w:t xml:space="preserve">Courtroom Observation:</w:t>
      </w:r>
      <w:r>
        <w:t xml:space="preserve"> </w:t>
      </w:r>
      <w:r>
        <w:t xml:space="preserve">Direct observation of the</w:t>
      </w:r>
      <w:r>
        <w:t xml:space="preserve"> </w:t>
      </w:r>
      <w:r>
        <w:rPr>
          <w:bCs/>
          <w:b/>
        </w:rPr>
        <w:t xml:space="preserve">Judge</w:t>
      </w:r>
      <w:r>
        <w:t xml:space="preserve">'s demeanor, interaction with counsel, and management of proceedings in the courts of</w:t>
      </w:r>
      <w:r>
        <w:t xml:space="preserve"> </w:t>
      </w:r>
      <w:r>
        <w:rPr>
          <w:bCs/>
          <w:b/>
        </w:rPr>
        <w:t xml:space="preserve">India New Delhi</w:t>
      </w:r>
      <w:r>
        <w:t xml:space="preserve">.</w:t>
      </w:r>
    </w:p>
    <w:p>
      <w:pPr>
        <w:numPr>
          <w:ilvl w:val="0"/>
          <w:numId w:val="1001"/>
        </w:numPr>
        <w:pStyle w:val="Compact"/>
      </w:pPr>
      <w:r>
        <w:rPr>
          <w:bCs/>
          <w:b/>
        </w:rPr>
        <w:t xml:space="preserve">Case Disposal Rate:</w:t>
      </w:r>
      <w:r>
        <w:t xml:space="preserve"> </w:t>
      </w:r>
      <w:r>
        <w:t xml:space="preserve">Statistical analysis of pending versus disposed cases compared to the national average.</w:t>
      </w:r>
    </w:p>
    <w:p>
      <w:pPr>
        <w:numPr>
          <w:ilvl w:val="0"/>
          <w:numId w:val="1001"/>
        </w:numPr>
        <w:pStyle w:val="Compact"/>
      </w:pPr>
      <w:r>
        <w:rPr>
          <w:bCs/>
          <w:b/>
        </w:rPr>
        <w:t xml:space="preserve">Ethical Compliance:</w:t>
      </w:r>
      <w:r>
        <w:t xml:space="preserve"> </w:t>
      </w:r>
      <w:r>
        <w:t xml:space="preserve">Verification of adherence to the Code of Conduct for Judges.</w:t>
      </w:r>
    </w:p>
    <w:bookmarkEnd w:id="22"/>
    <w:bookmarkStart w:id="26" w:name="detailed-assessment"/>
    <w:p>
      <w:pPr>
        <w:pStyle w:val="Heading2"/>
      </w:pPr>
      <w:r>
        <w:t xml:space="preserve">3. Detailed Assessment</w:t>
      </w:r>
    </w:p>
    <w:bookmarkStart w:id="23" w:name="legal-reasoning-and-judgment-quality"/>
    <w:p>
      <w:pPr>
        <w:pStyle w:val="Heading3"/>
      </w:pPr>
      <w:r>
        <w:t xml:space="preserve">3.1 Legal Reasoning and Judgment Quality</w:t>
      </w:r>
    </w:p>
    <w:p>
      <w:pPr>
        <w:pStyle w:val="FirstParagraph"/>
      </w:pPr>
      <w:r>
        <w:t xml:space="preserve">The</w:t>
      </w:r>
      <w:r>
        <w:t xml:space="preserve"> </w:t>
      </w:r>
      <w:r>
        <w:rPr>
          <w:bCs/>
          <w:b/>
        </w:rPr>
        <w:t xml:space="preserve">Judge</w:t>
      </w:r>
      <w:r>
        <w:t xml:space="preserve"> </w:t>
      </w:r>
      <w:r>
        <w:t xml:space="preserve">demonstrates exceptional command over the Indian Penal Code, the Code of Criminal Procedure, and relevant civil statutes. The judgments reviewed exhibit rigorous legal reasoning. In the context of</w:t>
      </w:r>
      <w:r>
        <w:t xml:space="preserve"> </w:t>
      </w:r>
      <w:r>
        <w:rPr>
          <w:bCs/>
          <w:b/>
        </w:rPr>
        <w:t xml:space="preserve">India New Delhi</w:t>
      </w:r>
      <w:r>
        <w:t xml:space="preserve">, where complex corporate and constitutional matters are frequently litigated, the</w:t>
      </w:r>
      <w:r>
        <w:t xml:space="preserve"> </w:t>
      </w:r>
      <w:r>
        <w:rPr>
          <w:bCs/>
          <w:b/>
        </w:rPr>
        <w:t xml:space="preserve">Judge</w:t>
      </w:r>
      <w:r>
        <w:t xml:space="preserve"> </w:t>
      </w:r>
      <w:r>
        <w:t xml:space="preserve">has shown the ability to synthesize vast amounts of case law into coherent and authoritative rulings. The language used is precise, minimizing ambiguity and reducing the likelihood of appellate challenges based on interpretative errors.</w:t>
      </w:r>
    </w:p>
    <w:bookmarkEnd w:id="23"/>
    <w:bookmarkStart w:id="24" w:name="impartiality-and-judicial-conduct"/>
    <w:p>
      <w:pPr>
        <w:pStyle w:val="Heading3"/>
      </w:pPr>
      <w:r>
        <w:t xml:space="preserve">3.2 Impartiality and Judicial Conduct</w:t>
      </w:r>
    </w:p>
    <w:p>
      <w:pPr>
        <w:pStyle w:val="FirstParagraph"/>
      </w:pPr>
      <w:r>
        <w:t xml:space="preserve">A cornerstone of this</w:t>
      </w:r>
      <w:r>
        <w:t xml:space="preserve"> </w:t>
      </w:r>
      <w:r>
        <w:rPr>
          <w:bCs/>
          <w:b/>
        </w:rPr>
        <w:t xml:space="preserve">Peer Review Report</w:t>
      </w:r>
      <w:r>
        <w:t xml:space="preserve"> </w:t>
      </w:r>
      <w:r>
        <w:t xml:space="preserve">is the assessment of impartiality. The</w:t>
      </w:r>
      <w:r>
        <w:t xml:space="preserve"> </w:t>
      </w:r>
      <w:r>
        <w:rPr>
          <w:bCs/>
          <w:b/>
        </w:rPr>
        <w:t xml:space="preserve">Judge</w:t>
      </w:r>
      <w:r>
        <w:t xml:space="preserve"> </w:t>
      </w:r>
      <w:r>
        <w:t xml:space="preserve">has maintained an exemplary standard of neutrality. Observations from the courtroom indicate that the</w:t>
      </w:r>
      <w:r>
        <w:t xml:space="preserve"> </w:t>
      </w:r>
      <w:r>
        <w:rPr>
          <w:bCs/>
          <w:b/>
        </w:rPr>
        <w:t xml:space="preserve">Judge</w:t>
      </w:r>
      <w:r>
        <w:t xml:space="preserve"> </w:t>
      </w:r>
      <w:r>
        <w:t xml:space="preserve">treats all litigants, regardless of their social status or legal representation, with equal respect. There were no recorded instances of bias or ex parte communications that would compromise the integrity of the proceedings. This conduct is vital for maintaining public trust in the judiciary of</w:t>
      </w:r>
      <w:r>
        <w:t xml:space="preserve"> </w:t>
      </w:r>
      <w:r>
        <w:rPr>
          <w:bCs/>
          <w:b/>
        </w:rPr>
        <w:t xml:space="preserve">India New Delhi</w:t>
      </w:r>
      <w:r>
        <w:t xml:space="preserve">.</w:t>
      </w:r>
    </w:p>
    <w:bookmarkEnd w:id="24"/>
    <w:bookmarkStart w:id="25" w:name="case-management-and-efficiency"/>
    <w:p>
      <w:pPr>
        <w:pStyle w:val="Heading3"/>
      </w:pPr>
      <w:r>
        <w:t xml:space="preserve">3.3 Case Management and Efficiency</w:t>
      </w:r>
    </w:p>
    <w:p>
      <w:pPr>
        <w:pStyle w:val="FirstParagraph"/>
      </w:pPr>
      <w:r>
        <w:t xml:space="preserve">The issue of case backlog is a significant challenge for the judiciary in</w:t>
      </w:r>
      <w:r>
        <w:t xml:space="preserve"> </w:t>
      </w:r>
      <w:r>
        <w:rPr>
          <w:bCs/>
          <w:b/>
        </w:rPr>
        <w:t xml:space="preserve">India New Delhi</w:t>
      </w:r>
      <w:r>
        <w:t xml:space="preserve">. In this regard, the</w:t>
      </w:r>
      <w:r>
        <w:t xml:space="preserve"> </w:t>
      </w:r>
      <w:r>
        <w:rPr>
          <w:bCs/>
          <w:b/>
        </w:rPr>
        <w:t xml:space="preserve">Judge</w:t>
      </w:r>
      <w:r>
        <w:t xml:space="preserve"> </w:t>
      </w:r>
      <w:r>
        <w:t xml:space="preserve">has performed commendably. The disposal rate for the reviewed period was 15% higher than the court average. The</w:t>
      </w:r>
      <w:r>
        <w:t xml:space="preserve"> </w:t>
      </w:r>
      <w:r>
        <w:rPr>
          <w:bCs/>
          <w:b/>
        </w:rPr>
        <w:t xml:space="preserve">Judge</w:t>
      </w:r>
      <w:r>
        <w:t xml:space="preserve"> </w:t>
      </w:r>
      <w:r>
        <w:t xml:space="preserve">effectively utilizes case management tools, sets strict timelines for submissions, and minimizes unnecessary adjournments. However, the review notes that while speed is prioritized, there are occasional instances where the depth of analysis in summary judgments could be enhanced to ensure long-term legal clarity.</w:t>
      </w:r>
    </w:p>
    <w:bookmarkEnd w:id="25"/>
    <w:bookmarkEnd w:id="26"/>
    <w:bookmarkStart w:id="27" w:name="performance-metrics"/>
    <w:p>
      <w:pPr>
        <w:pStyle w:val="Heading2"/>
      </w:pPr>
      <w:r>
        <w:t xml:space="preserve">4.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Weightage</w:t>
            </w:r>
          </w:p>
        </w:tc>
        <w:tc>
          <w:tcPr/>
          <w:p>
            <w:pPr>
              <w:pStyle w:val="Compact"/>
              <w:jc w:val="left"/>
            </w:pPr>
            <w:r>
              <w:t xml:space="preserve">Score (1-10)</w:t>
            </w:r>
          </w:p>
        </w:tc>
        <w:tc>
          <w:tcPr/>
          <w:p>
            <w:pPr>
              <w:pStyle w:val="Compact"/>
              <w:jc w:val="left"/>
            </w:pPr>
            <w:r>
              <w:t xml:space="preserve">Remarks</w:t>
            </w:r>
          </w:p>
        </w:tc>
      </w:tr>
      <w:tr>
        <w:tc>
          <w:tcPr/>
          <w:p>
            <w:pPr>
              <w:pStyle w:val="Compact"/>
              <w:jc w:val="left"/>
            </w:pPr>
            <w:r>
              <w:t xml:space="preserve">Legal Accuracy</w:t>
            </w:r>
          </w:p>
        </w:tc>
        <w:tc>
          <w:tcPr/>
          <w:p>
            <w:pPr>
              <w:pStyle w:val="Compact"/>
              <w:jc w:val="left"/>
            </w:pPr>
            <w:r>
              <w:t xml:space="preserve">30%</w:t>
            </w:r>
          </w:p>
        </w:tc>
        <w:tc>
          <w:tcPr/>
          <w:p>
            <w:pPr>
              <w:pStyle w:val="Compact"/>
              <w:jc w:val="left"/>
            </w:pPr>
            <w:r>
              <w:t xml:space="preserve">9.5</w:t>
            </w:r>
          </w:p>
        </w:tc>
        <w:tc>
          <w:tcPr/>
          <w:p>
            <w:pPr>
              <w:pStyle w:val="Compact"/>
              <w:jc w:val="left"/>
            </w:pPr>
            <w:r>
              <w:t xml:space="preserve">Highly accurate application of law.</w:t>
            </w:r>
          </w:p>
        </w:tc>
      </w:tr>
      <w:tr>
        <w:tc>
          <w:tcPr/>
          <w:p>
            <w:pPr>
              <w:pStyle w:val="Compact"/>
              <w:jc w:val="left"/>
            </w:pPr>
            <w:r>
              <w:t xml:space="preserve">Impartiality</w:t>
            </w:r>
          </w:p>
        </w:tc>
        <w:tc>
          <w:tcPr/>
          <w:p>
            <w:pPr>
              <w:pStyle w:val="Compact"/>
              <w:jc w:val="left"/>
            </w:pPr>
            <w:r>
              <w:t xml:space="preserve">25%</w:t>
            </w:r>
          </w:p>
        </w:tc>
        <w:tc>
          <w:tcPr/>
          <w:p>
            <w:pPr>
              <w:pStyle w:val="Compact"/>
              <w:jc w:val="left"/>
            </w:pPr>
            <w:r>
              <w:t xml:space="preserve">10.0</w:t>
            </w:r>
          </w:p>
        </w:tc>
        <w:tc>
          <w:tcPr/>
          <w:p>
            <w:pPr>
              <w:pStyle w:val="Compact"/>
              <w:jc w:val="left"/>
            </w:pPr>
            <w:r>
              <w:t xml:space="preserve">No conflicts of interest detected.</w:t>
            </w:r>
          </w:p>
        </w:tc>
      </w:tr>
      <w:tr>
        <w:tc>
          <w:tcPr/>
          <w:p>
            <w:pPr>
              <w:pStyle w:val="Compact"/>
              <w:jc w:val="left"/>
            </w:pPr>
            <w:r>
              <w:t xml:space="preserve">Case Disposal Rate</w:t>
            </w:r>
          </w:p>
        </w:tc>
        <w:tc>
          <w:tcPr/>
          <w:p>
            <w:pPr>
              <w:pStyle w:val="Compact"/>
              <w:jc w:val="left"/>
            </w:pPr>
            <w:r>
              <w:t xml:space="preserve">20%</w:t>
            </w:r>
          </w:p>
        </w:tc>
        <w:tc>
          <w:tcPr/>
          <w:p>
            <w:pPr>
              <w:pStyle w:val="Compact"/>
              <w:jc w:val="left"/>
            </w:pPr>
            <w:r>
              <w:t xml:space="preserve">8.5</w:t>
            </w:r>
          </w:p>
        </w:tc>
        <w:tc>
          <w:tcPr/>
          <w:p>
            <w:pPr>
              <w:pStyle w:val="Compact"/>
              <w:jc w:val="left"/>
            </w:pPr>
            <w:r>
              <w:t xml:space="preserve">Above average efficiency.</w:t>
            </w:r>
          </w:p>
        </w:tc>
      </w:tr>
      <w:tr>
        <w:tc>
          <w:tcPr/>
          <w:p>
            <w:pPr>
              <w:pStyle w:val="Compact"/>
              <w:jc w:val="left"/>
            </w:pPr>
            <w:r>
              <w:t xml:space="preserve">Courtroom Demeanor</w:t>
            </w:r>
          </w:p>
        </w:tc>
        <w:tc>
          <w:tcPr/>
          <w:p>
            <w:pPr>
              <w:pStyle w:val="Compact"/>
              <w:jc w:val="left"/>
            </w:pPr>
            <w:r>
              <w:t xml:space="preserve">15%</w:t>
            </w:r>
          </w:p>
        </w:tc>
        <w:tc>
          <w:tcPr/>
          <w:p>
            <w:pPr>
              <w:pStyle w:val="Compact"/>
              <w:jc w:val="left"/>
            </w:pPr>
            <w:r>
              <w:t xml:space="preserve">9.0</w:t>
            </w:r>
          </w:p>
        </w:tc>
        <w:tc>
          <w:tcPr/>
          <w:p>
            <w:pPr>
              <w:pStyle w:val="Compact"/>
              <w:jc w:val="left"/>
            </w:pPr>
            <w:r>
              <w:t xml:space="preserve">Professional and composed.</w:t>
            </w:r>
          </w:p>
        </w:tc>
      </w:tr>
      <w:tr>
        <w:tc>
          <w:tcPr/>
          <w:p>
            <w:pPr>
              <w:pStyle w:val="Compact"/>
              <w:jc w:val="left"/>
            </w:pPr>
            <w:r>
              <w:t xml:space="preserve">Clarity of Judgments</w:t>
            </w:r>
          </w:p>
        </w:tc>
        <w:tc>
          <w:tcPr/>
          <w:p>
            <w:pPr>
              <w:pStyle w:val="Compact"/>
              <w:jc w:val="left"/>
            </w:pPr>
            <w:r>
              <w:t xml:space="preserve">10%</w:t>
            </w:r>
          </w:p>
        </w:tc>
        <w:tc>
          <w:tcPr/>
          <w:p>
            <w:pPr>
              <w:pStyle w:val="Compact"/>
              <w:jc w:val="left"/>
            </w:pPr>
            <w:r>
              <w:t xml:space="preserve">7.5</w:t>
            </w:r>
          </w:p>
        </w:tc>
        <w:tc>
          <w:tcPr/>
          <w:p>
            <w:pPr>
              <w:pStyle w:val="Compact"/>
              <w:jc w:val="left"/>
            </w:pPr>
            <w:r>
              <w:t xml:space="preserve">Some judgments require editing for brevity.</w:t>
            </w:r>
          </w:p>
        </w:tc>
      </w:tr>
    </w:tbl>
    <w:bookmarkEnd w:id="27"/>
    <w:bookmarkStart w:id="28" w:name="areas-for-improvement"/>
    <w:p>
      <w:pPr>
        <w:pStyle w:val="Heading2"/>
      </w:pPr>
      <w:r>
        <w:t xml:space="preserve">5. Areas for Improvement</w:t>
      </w:r>
    </w:p>
    <w:p>
      <w:pPr>
        <w:pStyle w:val="FirstParagraph"/>
      </w:pPr>
      <w:r>
        <w:t xml:space="preserve">While the overall performance of the</w:t>
      </w:r>
      <w:r>
        <w:t xml:space="preserve"> </w:t>
      </w:r>
      <w:r>
        <w:rPr>
          <w:bCs/>
          <w:b/>
        </w:rPr>
        <w:t xml:space="preserve">Judge</w:t>
      </w:r>
      <w:r>
        <w:t xml:space="preserve"> </w:t>
      </w:r>
      <w:r>
        <w:t xml:space="preserve">is highly satisfactory, this</w:t>
      </w:r>
      <w:r>
        <w:t xml:space="preserve"> </w:t>
      </w:r>
      <w:r>
        <w:rPr>
          <w:bCs/>
          <w:b/>
        </w:rPr>
        <w:t xml:space="preserve">Peer Review Report</w:t>
      </w:r>
      <w:r>
        <w:t xml:space="preserve"> </w:t>
      </w:r>
      <w:r>
        <w:t xml:space="preserve">identifies specific areas for refinement to align with the evolving needs of the legal system in</w:t>
      </w:r>
      <w:r>
        <w:t xml:space="preserve"> </w:t>
      </w:r>
      <w:r>
        <w:rPr>
          <w:bCs/>
          <w:b/>
        </w:rPr>
        <w:t xml:space="preserve">India New Delhi</w:t>
      </w:r>
      <w:r>
        <w:t xml:space="preserve">:</w:t>
      </w:r>
    </w:p>
    <w:p>
      <w:pPr>
        <w:numPr>
          <w:ilvl w:val="0"/>
          <w:numId w:val="1002"/>
        </w:numPr>
        <w:pStyle w:val="Compact"/>
      </w:pPr>
      <w:r>
        <w:rPr>
          <w:bCs/>
          <w:b/>
        </w:rPr>
        <w:t xml:space="preserve">Use of Technology:</w:t>
      </w:r>
      <w:r>
        <w:t xml:space="preserve"> </w:t>
      </w:r>
      <w:r>
        <w:t xml:space="preserve">The</w:t>
      </w:r>
      <w:r>
        <w:t xml:space="preserve"> </w:t>
      </w:r>
      <w:r>
        <w:rPr>
          <w:bCs/>
          <w:b/>
        </w:rPr>
        <w:t xml:space="preserve">Judge</w:t>
      </w:r>
      <w:r>
        <w:t xml:space="preserve"> </w:t>
      </w:r>
      <w:r>
        <w:t xml:space="preserve">is encouraged to further integrate digital case management systems to streamline document retrieval and evidence presentation.</w:t>
      </w:r>
    </w:p>
    <w:p>
      <w:pPr>
        <w:numPr>
          <w:ilvl w:val="0"/>
          <w:numId w:val="1002"/>
        </w:numPr>
        <w:pStyle w:val="Compact"/>
      </w:pPr>
      <w:r>
        <w:rPr>
          <w:bCs/>
          <w:b/>
        </w:rPr>
        <w:t xml:space="preserve">Conciseness:</w:t>
      </w:r>
      <w:r>
        <w:t xml:space="preserve"> </w:t>
      </w:r>
      <w:r>
        <w:t xml:space="preserve">Efforts should be made to reduce the length of routine orders without compromising legal substance, thereby aiding faster reading and implementation by lower courts.</w:t>
      </w:r>
    </w:p>
    <w:p>
      <w:pPr>
        <w:numPr>
          <w:ilvl w:val="0"/>
          <w:numId w:val="1002"/>
        </w:numPr>
        <w:pStyle w:val="Compact"/>
      </w:pPr>
      <w:r>
        <w:rPr>
          <w:bCs/>
          <w:b/>
        </w:rPr>
        <w:t xml:space="preserve">Alternative Dispute Resolution (ADR):</w:t>
      </w:r>
      <w:r>
        <w:t xml:space="preserve"> </w:t>
      </w:r>
      <w:r>
        <w:t xml:space="preserve">Greater emphasis on mediating cases before full trial could help alleviate the burden on the courts in</w:t>
      </w:r>
      <w:r>
        <w:t xml:space="preserve"> </w:t>
      </w:r>
      <w:r>
        <w:rPr>
          <w:bCs/>
          <w:b/>
        </w:rPr>
        <w:t xml:space="preserve">India New Delhi</w:t>
      </w:r>
      <w:r>
        <w:t xml:space="preserve">.</w:t>
      </w:r>
    </w:p>
    <w:bookmarkEnd w:id="28"/>
    <w:bookmarkStart w:id="29" w:name="conclusion-and-recommendations"/>
    <w:p>
      <w:pPr>
        <w:pStyle w:val="Heading2"/>
      </w:pPr>
      <w:r>
        <w:t xml:space="preserve">6. Conclusion and Recommendations</w:t>
      </w:r>
    </w:p>
    <w:p>
      <w:pPr>
        <w:pStyle w:val="FirstParagraph"/>
      </w:pPr>
      <w:r>
        <w:rPr>
          <w:bCs/>
          <w:b/>
        </w:rPr>
        <w:t xml:space="preserve">Final Verdict:</w:t>
      </w:r>
      <w:r>
        <w:t xml:space="preserve"> </w:t>
      </w:r>
      <w:r>
        <w:t xml:space="preserve">Based on the comprehensive analysis conducted for this</w:t>
      </w:r>
      <w:r>
        <w:t xml:space="preserve"> </w:t>
      </w:r>
      <w:r>
        <w:rPr>
          <w:bCs/>
          <w:b/>
        </w:rPr>
        <w:t xml:space="preserve">Peer Review Report</w:t>
      </w:r>
      <w:r>
        <w:t xml:space="preserve">, the</w:t>
      </w:r>
      <w:r>
        <w:t xml:space="preserve"> </w:t>
      </w:r>
      <w:r>
        <w:rPr>
          <w:bCs/>
          <w:b/>
        </w:rPr>
        <w:t xml:space="preserve">Judge</w:t>
      </w:r>
      <w:r>
        <w:t xml:space="preserve"> </w:t>
      </w:r>
      <w:r>
        <w:t xml:space="preserve">is deemed to be performing at a superior level. The individual exhibits the intellectual rigor, ethical fortitude, and administrative capability required of the judiciary in</w:t>
      </w:r>
      <w:r>
        <w:t xml:space="preserve"> </w:t>
      </w:r>
      <w:r>
        <w:rPr>
          <w:bCs/>
          <w:b/>
        </w:rPr>
        <w:t xml:space="preserve">India New Delhi</w:t>
      </w:r>
      <w:r>
        <w:t xml:space="preserve">.</w:t>
      </w:r>
    </w:p>
    <w:p>
      <w:pPr>
        <w:pStyle w:val="BodyText"/>
      </w:pPr>
      <w:r>
        <w:rPr>
          <w:bCs/>
          <w:b/>
        </w:rPr>
        <w:t xml:space="preserve">Recommendation:</w:t>
      </w:r>
      <w:r>
        <w:t xml:space="preserve"> </w:t>
      </w:r>
      <w:r>
        <w:t xml:space="preserve">It is recommended that the</w:t>
      </w:r>
      <w:r>
        <w:t xml:space="preserve"> </w:t>
      </w:r>
      <w:r>
        <w:rPr>
          <w:bCs/>
          <w:b/>
        </w:rPr>
        <w:t xml:space="preserve">Judge</w:t>
      </w:r>
      <w:r>
        <w:t xml:space="preserve"> </w:t>
      </w:r>
      <w:r>
        <w:t xml:space="preserve">be considered for elevation to a higher bench or a specialized division within the Delhi High Court. Continued professional development in digital jurisprudence is advised.</w:t>
      </w:r>
    </w:p>
    <w:bookmarkEnd w:id="29"/>
    <w:p>
      <w:pPr>
        <w:pStyle w:val="BodyText"/>
      </w:pPr>
      <w:r>
        <w:t xml:space="preserve">This document is confidential and intended solely for the use of the Judicial Department,</w:t>
      </w:r>
      <w:r>
        <w:t xml:space="preserve"> </w:t>
      </w:r>
      <w:r>
        <w:rPr>
          <w:bCs/>
          <w:b/>
        </w:rPr>
        <w:t xml:space="preserve">India New Delhi</w:t>
      </w:r>
      <w:r>
        <w:t xml:space="preserve">. Unauthorized distribution is prohibited.</w:t>
      </w:r>
    </w:p>
    <w:p>
      <w:pPr>
        <w:pStyle w:val="BodyText"/>
      </w:pPr>
      <w:r>
        <w:t xml:space="preserve">© 2023 Judicial Review Committee, Delhi High Court.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2026-10-10T02:03:48Z</dcterms:created>
  <dcterms:modified xsi:type="dcterms:W3CDTF">2026-10-10T02:03:48Z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