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8" w:name="peer-review-report"/>
    <w:p>
      <w:pPr>
        <w:pStyle w:val="Heading1"/>
      </w:pPr>
      <w:r>
        <w:t xml:space="preserve">Peer Review Report</w:t>
      </w:r>
    </w:p>
    <w:p>
      <w:pPr>
        <w:pStyle w:val="FirstParagraph"/>
      </w:pPr>
      <w:r>
        <w:t xml:space="preserve">Judicial Performance Evaluation &amp; Integrity Assessment</w:t>
      </w:r>
    </w:p>
    <w:p>
      <w:pPr>
        <w:pStyle w:val="BodyText"/>
      </w:pPr>
      <w:r>
        <w:rPr>
          <w:bCs/>
          <w:b/>
        </w:rPr>
        <w:t xml:space="preserve">Subject of Review:</w:t>
      </w:r>
      <w:r>
        <w:t xml:space="preserve"> </w:t>
      </w:r>
      <w:r>
        <w:t xml:space="preserve">Honorable Judge [Name Redacted]</w:t>
      </w:r>
    </w:p>
    <w:p>
      <w:pPr>
        <w:pStyle w:val="BodyText"/>
      </w:pPr>
      <w:r>
        <w:rPr>
          <w:bCs/>
          <w:b/>
        </w:rPr>
        <w:t xml:space="preserve">Location:</w:t>
      </w:r>
      <w:r>
        <w:t xml:space="preserve"> </w:t>
      </w:r>
      <w:r>
        <w:t xml:space="preserve">District Court of Central Jakarta, Indonesia Jakarta</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Supreme Court Oversight Committee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reasoning, and administrative efficiency of the subject</w:t>
      </w:r>
      <w:r>
        <w:t xml:space="preserve"> </w:t>
      </w:r>
      <w:r>
        <w:rPr>
          <w:bCs/>
          <w:b/>
        </w:rPr>
        <w:t xml:space="preserve">Judge</w:t>
      </w:r>
      <w:r>
        <w:t xml:space="preserve"> </w:t>
      </w:r>
      <w:r>
        <w:t xml:space="preserve">currently serving within the judicial system of</w:t>
      </w:r>
      <w:r>
        <w:t xml:space="preserve"> </w:t>
      </w:r>
      <w:r>
        <w:rPr>
          <w:bCs/>
          <w:b/>
        </w:rPr>
        <w:t xml:space="preserve">Indonesia Jakarta</w:t>
      </w:r>
      <w:r>
        <w:t xml:space="preserve">. The review process adheres to the standards set forth by the Supreme Court of the Republic of Indonesia (Mahkamah Agung) and the Judicial Commission (Komisi Yudisial). The objective is to ensure that the judiciary in the capital region maintains the highest levels of integrity, competence, and public trust.</w:t>
      </w:r>
    </w:p>
    <w:p>
      <w:pPr>
        <w:pStyle w:val="BodyText"/>
      </w:pPr>
      <w:r>
        <w:t xml:space="preserve">The assessment covers a twelve-month period of case management, focusing on civil and commercial disputes prevalent in the bustling economic hub of Jakarta. The findings indicate a generally high standard of legal acumen, though specific areas regarding case backlog management and courtroom demeanor require targeted improvement.</w:t>
      </w:r>
    </w:p>
    <w:bookmarkEnd w:id="20"/>
    <w:bookmarkStart w:id="21" w:name="methodology"/>
    <w:p>
      <w:pPr>
        <w:pStyle w:val="Heading2"/>
      </w:pPr>
      <w:r>
        <w:t xml:space="preserve">2. Methodology</w:t>
      </w:r>
    </w:p>
    <w:p>
      <w:pPr>
        <w:pStyle w:val="FirstParagraph"/>
      </w:pPr>
      <w:r>
        <w:t xml:space="preserve">The</w:t>
      </w:r>
      <w:r>
        <w:t xml:space="preserve"> </w:t>
      </w:r>
      <w:r>
        <w:rPr>
          <w:bCs/>
          <w:b/>
        </w:rPr>
        <w:t xml:space="preserve">Peer Review Report</w:t>
      </w:r>
      <w:r>
        <w:t xml:space="preserve"> </w:t>
      </w:r>
      <w:r>
        <w:t xml:space="preserve">was conducted using a multi-faceted approach designed to capture a holistic view of the</w:t>
      </w:r>
      <w:r>
        <w:t xml:space="preserve"> </w:t>
      </w:r>
      <w:r>
        <w:rPr>
          <w:bCs/>
          <w:b/>
        </w:rPr>
        <w:t xml:space="preserve">Judge</w:t>
      </w:r>
      <w:r>
        <w:t xml:space="preserve">'s performance. The methodology included:</w:t>
      </w:r>
    </w:p>
    <w:p>
      <w:pPr>
        <w:numPr>
          <w:ilvl w:val="0"/>
          <w:numId w:val="1001"/>
        </w:numPr>
        <w:pStyle w:val="Compact"/>
      </w:pPr>
      <w:r>
        <w:rPr>
          <w:bCs/>
          <w:b/>
        </w:rPr>
        <w:t xml:space="preserve">Case File Analysis:</w:t>
      </w:r>
      <w:r>
        <w:t xml:space="preserve"> </w:t>
      </w:r>
      <w:r>
        <w:t xml:space="preserve">A random sampling of 50 closed cases was reviewed to assess the quality of written decisions, adherence to procedural law, and consistency in legal interpretation.</w:t>
      </w:r>
    </w:p>
    <w:p>
      <w:pPr>
        <w:numPr>
          <w:ilvl w:val="0"/>
          <w:numId w:val="1001"/>
        </w:numPr>
        <w:pStyle w:val="Compact"/>
      </w:pPr>
      <w:r>
        <w:rPr>
          <w:bCs/>
          <w:b/>
        </w:rPr>
        <w:t xml:space="preserve">Observation:</w:t>
      </w:r>
      <w:r>
        <w:t xml:space="preserve"> </w:t>
      </w:r>
      <w:r>
        <w:t xml:space="preserve">Peer judges and legal observers attended ten court sessions in</w:t>
      </w:r>
      <w:r>
        <w:t xml:space="preserve"> </w:t>
      </w:r>
      <w:r>
        <w:rPr>
          <w:bCs/>
          <w:b/>
        </w:rPr>
        <w:t xml:space="preserve">Indonesia Jakarta</w:t>
      </w:r>
      <w:r>
        <w:t xml:space="preserve"> </w:t>
      </w:r>
      <w:r>
        <w:t xml:space="preserve">to observe courtroom management, interaction with litigants, and adherence to ethical codes.</w:t>
      </w:r>
    </w:p>
    <w:p>
      <w:pPr>
        <w:numPr>
          <w:ilvl w:val="0"/>
          <w:numId w:val="1001"/>
        </w:numPr>
        <w:pStyle w:val="Compact"/>
      </w:pPr>
      <w:r>
        <w:rPr>
          <w:bCs/>
          <w:b/>
        </w:rPr>
        <w:t xml:space="preserve">Stakeholder Feedback:</w:t>
      </w:r>
      <w:r>
        <w:t xml:space="preserve"> </w:t>
      </w:r>
      <w:r>
        <w:t xml:space="preserve">Anonymous surveys were distributed to legal counsel, court clerks, and litigants to gauge perceptions of fairness and accessibility.</w:t>
      </w:r>
    </w:p>
    <w:bookmarkEnd w:id="21"/>
    <w:bookmarkStart w:id="22" w:name="X19c73208f5477bec2a795b39f3288cf6d5af48f"/>
    <w:p>
      <w:pPr>
        <w:pStyle w:val="Heading2"/>
      </w:pPr>
      <w:r>
        <w:t xml:space="preserve">3. Assessment of Judicial Reasoning and Legal Competence</w:t>
      </w:r>
    </w:p>
    <w:p>
      <w:pPr>
        <w:pStyle w:val="FirstParagraph"/>
      </w:pPr>
      <w:r>
        <w:t xml:space="preserve">The core function of any</w:t>
      </w:r>
      <w:r>
        <w:t xml:space="preserve"> </w:t>
      </w:r>
      <w:r>
        <w:rPr>
          <w:bCs/>
          <w:b/>
        </w:rPr>
        <w:t xml:space="preserve">Judge</w:t>
      </w:r>
      <w:r>
        <w:t xml:space="preserve"> </w:t>
      </w:r>
      <w:r>
        <w:t xml:space="preserve">is the application of law to facts. In the context of</w:t>
      </w:r>
      <w:r>
        <w:t xml:space="preserve"> </w:t>
      </w:r>
      <w:r>
        <w:rPr>
          <w:bCs/>
          <w:b/>
        </w:rPr>
        <w:t xml:space="preserve">Indonesia Jakarta</w:t>
      </w:r>
      <w:r>
        <w:t xml:space="preserve">, where commercial litigation is complex and high-stakes, this competence is paramount. The review found that the subject demonstrates a robust understanding of the Indonesian Civil Code (Kitab Undang-Undang Hukum Perdata) and relevant commercial regulations.</w:t>
      </w:r>
    </w:p>
    <w:p>
      <w:pPr>
        <w:pStyle w:val="BodyText"/>
      </w:pPr>
      <w:r>
        <w:t xml:space="preserve">The written verdicts analyzed for this</w:t>
      </w:r>
      <w:r>
        <w:t xml:space="preserve"> </w:t>
      </w:r>
      <w:r>
        <w:rPr>
          <w:bCs/>
          <w:b/>
        </w:rPr>
        <w:t xml:space="preserve">Peer Review Report</w:t>
      </w:r>
      <w:r>
        <w:t xml:space="preserve"> </w:t>
      </w:r>
      <w:r>
        <w:t xml:space="preserve">were well-structured, logically sound, and cited relevant jurisprudence effectively. The</w:t>
      </w:r>
      <w:r>
        <w:t xml:space="preserve"> </w:t>
      </w:r>
      <w:r>
        <w:rPr>
          <w:bCs/>
          <w:b/>
        </w:rPr>
        <w:t xml:space="preserve">Judge</w:t>
      </w:r>
      <w:r>
        <w:t xml:space="preserve"> </w:t>
      </w:r>
      <w:r>
        <w:t xml:space="preserve">consistently provided clear rationales for decisions, which is essential for reducing appeals and ensuring legal certainty. However, in three instances, the application of local regulations specific to the Jakarta Special Capital Region was slightly ambiguous, suggesting a need for further specialization in regional administrative law.</w:t>
      </w:r>
    </w:p>
    <w:bookmarkEnd w:id="22"/>
    <w:bookmarkStart w:id="23" w:name="courtroom-management-and-demeanor"/>
    <w:p>
      <w:pPr>
        <w:pStyle w:val="Heading2"/>
      </w:pPr>
      <w:r>
        <w:t xml:space="preserve">4. Courtroom Management and Demeanor</w:t>
      </w:r>
    </w:p>
    <w:p>
      <w:pPr>
        <w:pStyle w:val="FirstParagraph"/>
      </w:pPr>
      <w:r>
        <w:t xml:space="preserve">Observations conducted within the courtrooms of</w:t>
      </w:r>
      <w:r>
        <w:t xml:space="preserve"> </w:t>
      </w:r>
      <w:r>
        <w:rPr>
          <w:bCs/>
          <w:b/>
        </w:rPr>
        <w:t xml:space="preserve">Indonesia Jakarta</w:t>
      </w:r>
      <w:r>
        <w:t xml:space="preserve"> </w:t>
      </w:r>
      <w:r>
        <w:t xml:space="preserve">highlighted the</w:t>
      </w:r>
      <w:r>
        <w:t xml:space="preserve"> </w:t>
      </w:r>
      <w:r>
        <w:rPr>
          <w:bCs/>
          <w:b/>
        </w:rPr>
        <w:t xml:space="preserve">Judge</w:t>
      </w:r>
      <w:r>
        <w:t xml:space="preserve">'s ability to maintain order and decorum. The subject displayed patience when dealing with pro se litigants who often lack legal representation, a common scenario in the district courts of Jakarta. The</w:t>
      </w:r>
      <w:r>
        <w:t xml:space="preserve"> </w:t>
      </w:r>
      <w:r>
        <w:rPr>
          <w:bCs/>
          <w:b/>
        </w:rPr>
        <w:t xml:space="preserve">Judge</w:t>
      </w:r>
      <w:r>
        <w:t xml:space="preserve"> </w:t>
      </w:r>
      <w:r>
        <w:t xml:space="preserve">ensured that all parties had the opportunity to present their arguments without unnecessary interruption.</w:t>
      </w:r>
    </w:p>
    <w:p>
      <w:pPr>
        <w:pStyle w:val="BodyText"/>
      </w:pPr>
      <w:r>
        <w:t xml:space="preserve">Nevertheless, the</w:t>
      </w:r>
      <w:r>
        <w:t xml:space="preserve"> </w:t>
      </w:r>
      <w:r>
        <w:rPr>
          <w:bCs/>
          <w:b/>
        </w:rPr>
        <w:t xml:space="preserve">Peer Review Report</w:t>
      </w:r>
      <w:r>
        <w:t xml:space="preserve"> </w:t>
      </w:r>
      <w:r>
        <w:t xml:space="preserve">notes occasional instances of impatience during procedural delays. While understandable given the heavy caseload in the capital, the</w:t>
      </w:r>
      <w:r>
        <w:t xml:space="preserve"> </w:t>
      </w:r>
      <w:r>
        <w:rPr>
          <w:bCs/>
          <w:b/>
        </w:rPr>
        <w:t xml:space="preserve">Judge</w:t>
      </w:r>
      <w:r>
        <w:t xml:space="preserve"> </w:t>
      </w:r>
      <w:r>
        <w:t xml:space="preserve">is advised to maintain a more neutral and calming presence to prevent escalating tensions between opposing parties.</w:t>
      </w:r>
    </w:p>
    <w:bookmarkEnd w:id="23"/>
    <w:bookmarkStart w:id="24" w:name="efficiency-and-case-management"/>
    <w:p>
      <w:pPr>
        <w:pStyle w:val="Heading2"/>
      </w:pPr>
      <w:r>
        <w:t xml:space="preserve">5. Efficiency and Case Management</w:t>
      </w:r>
    </w:p>
    <w:p>
      <w:pPr>
        <w:pStyle w:val="FirstParagraph"/>
      </w:pPr>
      <w:r>
        <w:t xml:space="preserve">One of the most significant challenges facing the judiciary in</w:t>
      </w:r>
      <w:r>
        <w:t xml:space="preserve"> </w:t>
      </w:r>
      <w:r>
        <w:rPr>
          <w:bCs/>
          <w:b/>
        </w:rPr>
        <w:t xml:space="preserve">Indonesia Jakarta</w:t>
      </w:r>
      <w:r>
        <w:t xml:space="preserve"> </w:t>
      </w:r>
      <w:r>
        <w:t xml:space="preserve">is the volume of cases. This section of the</w:t>
      </w:r>
      <w:r>
        <w:t xml:space="preserve"> </w:t>
      </w:r>
      <w:r>
        <w:rPr>
          <w:bCs/>
          <w:b/>
        </w:rPr>
        <w:t xml:space="preserve">Peer Review Report</w:t>
      </w:r>
      <w:r>
        <w:t xml:space="preserve"> </w:t>
      </w:r>
      <w:r>
        <w:t xml:space="preserve">evaluates the</w:t>
      </w:r>
      <w:r>
        <w:t xml:space="preserve"> </w:t>
      </w:r>
      <w:r>
        <w:rPr>
          <w:bCs/>
          <w:b/>
        </w:rPr>
        <w:t xml:space="preserve">Judge</w:t>
      </w:r>
      <w:r>
        <w:t xml:space="preserve">'s efficiency. The data shows that the subject's average time to disposition is within the acceptable range for the court, though slightly above the national average.</w:t>
      </w:r>
    </w:p>
    <w:p>
      <w:pPr>
        <w:pStyle w:val="BodyText"/>
      </w:pPr>
      <w:r>
        <w:t xml:space="preserve">The</w:t>
      </w:r>
      <w:r>
        <w:t xml:space="preserve"> </w:t>
      </w:r>
      <w:r>
        <w:rPr>
          <w:bCs/>
          <w:b/>
        </w:rPr>
        <w:t xml:space="preserve">Judge</w:t>
      </w:r>
      <w:r>
        <w:t xml:space="preserve"> </w:t>
      </w:r>
      <w:r>
        <w:t xml:space="preserve">has implemented effective pre-trial conferences to narrow issues, which is a positive step. However, the report recommends adopting more aggressive scheduling techniques to prevent unnecessary adjournments, which are frequent in Jakarta's legal environment. Improving this metric would significantly contribute to reducing the backlog and enhancing the court's reputation for efficiency.</w:t>
      </w:r>
    </w:p>
    <w:bookmarkEnd w:id="24"/>
    <w:bookmarkStart w:id="25" w:name="integrity-and-ethical-compliance"/>
    <w:p>
      <w:pPr>
        <w:pStyle w:val="Heading2"/>
      </w:pPr>
      <w:r>
        <w:t xml:space="preserve">6. Integrity and Ethical Compliance</w:t>
      </w:r>
    </w:p>
    <w:p>
      <w:pPr>
        <w:pStyle w:val="FirstParagraph"/>
      </w:pPr>
      <w:r>
        <w:t xml:space="preserve">Integrity is the cornerstone of the judicial system. This</w:t>
      </w:r>
      <w:r>
        <w:t xml:space="preserve"> </w:t>
      </w:r>
      <w:r>
        <w:rPr>
          <w:bCs/>
          <w:b/>
        </w:rPr>
        <w:t xml:space="preserve">Peer Review Report</w:t>
      </w:r>
      <w:r>
        <w:t xml:space="preserve"> </w:t>
      </w:r>
      <w:r>
        <w:t xml:space="preserve">places significant emphasis on the ethical conduct of the</w:t>
      </w:r>
      <w:r>
        <w:t xml:space="preserve"> </w:t>
      </w:r>
      <w:r>
        <w:rPr>
          <w:bCs/>
          <w:b/>
        </w:rPr>
        <w:t xml:space="preserve">Judge</w:t>
      </w:r>
      <w:r>
        <w:t xml:space="preserve">. There were no findings of corruption, bribery, or conflict of interest during the review period. The subject has strictly adhered to the Code of Judicial Ethics (Kode Etik dan Pedoman Perilaku Hakim).</w:t>
      </w:r>
    </w:p>
    <w:p>
      <w:pPr>
        <w:pStyle w:val="BodyText"/>
      </w:pPr>
      <w:r>
        <w:t xml:space="preserve">Feedback from stakeholders in</w:t>
      </w:r>
      <w:r>
        <w:t xml:space="preserve"> </w:t>
      </w:r>
      <w:r>
        <w:rPr>
          <w:bCs/>
          <w:b/>
        </w:rPr>
        <w:t xml:space="preserve">Indonesia Jakarta</w:t>
      </w:r>
      <w:r>
        <w:t xml:space="preserve"> </w:t>
      </w:r>
      <w:r>
        <w:t xml:space="preserve">confirmed that the</w:t>
      </w:r>
      <w:r>
        <w:t xml:space="preserve"> </w:t>
      </w:r>
      <w:r>
        <w:rPr>
          <w:bCs/>
          <w:b/>
        </w:rPr>
        <w:t xml:space="preserve">Judge</w:t>
      </w:r>
      <w:r>
        <w:t xml:space="preserve"> </w:t>
      </w:r>
      <w:r>
        <w:t xml:space="preserve">maintains appropriate boundaries with legal practitioners and litigants. The subject's commitment to impartiality is evident and serves as a model for other judicial officers in the region.</w:t>
      </w:r>
    </w:p>
    <w:p>
      <w:pPr>
        <w:pStyle w:val="BodyText"/>
      </w:pPr>
      <w:r>
        <w:t xml:space="preserve">Overall Performance Rating: Satisfactory with Recommendations for Improvement</w:t>
      </w:r>
    </w:p>
    <w:bookmarkEnd w:id="25"/>
    <w:bookmarkStart w:id="26"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 </w:t>
      </w:r>
      <w:r>
        <w:t xml:space="preserve">to enhance their performance within the</w:t>
      </w:r>
      <w:r>
        <w:t xml:space="preserve"> </w:t>
      </w:r>
      <w:r>
        <w:rPr>
          <w:bCs/>
          <w:b/>
        </w:rPr>
        <w:t xml:space="preserve">Indonesia Jakarta</w:t>
      </w:r>
      <w:r>
        <w:t xml:space="preserve"> </w:t>
      </w:r>
      <w:r>
        <w:t xml:space="preserve">jurisdiction:</w:t>
      </w:r>
    </w:p>
    <w:p>
      <w:pPr>
        <w:numPr>
          <w:ilvl w:val="0"/>
          <w:numId w:val="1002"/>
        </w:numPr>
        <w:pStyle w:val="Compact"/>
      </w:pPr>
      <w:r>
        <w:rPr>
          <w:bCs/>
          <w:b/>
        </w:rPr>
        <w:t xml:space="preserve">Continuing Legal Education:</w:t>
      </w:r>
      <w:r>
        <w:t xml:space="preserve"> </w:t>
      </w:r>
      <w:r>
        <w:t xml:space="preserve">Attend specialized workshops on Jakarta regional regulations and complex commercial arbitration to refine legal application.</w:t>
      </w:r>
    </w:p>
    <w:p>
      <w:pPr>
        <w:numPr>
          <w:ilvl w:val="0"/>
          <w:numId w:val="1002"/>
        </w:numPr>
        <w:pStyle w:val="Compact"/>
      </w:pPr>
      <w:r>
        <w:rPr>
          <w:bCs/>
          <w:b/>
        </w:rPr>
        <w:t xml:space="preserve">Case Management Training:</w:t>
      </w:r>
      <w:r>
        <w:t xml:space="preserve"> </w:t>
      </w:r>
      <w:r>
        <w:t xml:space="preserve">Participate in advanced training on docket management to reduce disposition times and minimize adjournments.</w:t>
      </w:r>
    </w:p>
    <w:p>
      <w:pPr>
        <w:numPr>
          <w:ilvl w:val="0"/>
          <w:numId w:val="1002"/>
        </w:numPr>
        <w:pStyle w:val="Compact"/>
      </w:pPr>
      <w:r>
        <w:rPr>
          <w:bCs/>
          <w:b/>
        </w:rPr>
        <w:t xml:space="preserve">Emotional Intelligence:</w:t>
      </w:r>
      <w:r>
        <w:t xml:space="preserve"> </w:t>
      </w:r>
      <w:r>
        <w:t xml:space="preserve">Engage in training focused on courtroom demeanor and conflict de-escalation to better manage high-pressure situations.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a competent and ethical officer of the court. While there are areas for improvement regarding efficiency and regional legal nuance, the overall contribution to the justice system in</w:t>
      </w:r>
      <w:r>
        <w:t xml:space="preserve"> </w:t>
      </w:r>
      <w:r>
        <w:rPr>
          <w:bCs/>
          <w:b/>
        </w:rPr>
        <w:t xml:space="preserve">Indonesia Jakarta</w:t>
      </w:r>
      <w:r>
        <w:t xml:space="preserve"> </w:t>
      </w:r>
      <w:r>
        <w:t xml:space="preserve">is positive. The recommendations provided are intended to support the</w:t>
      </w:r>
      <w:r>
        <w:t xml:space="preserve"> </w:t>
      </w:r>
      <w:r>
        <w:rPr>
          <w:bCs/>
          <w:b/>
        </w:rPr>
        <w:t xml:space="preserve">Judge</w:t>
      </w:r>
      <w:r>
        <w:t xml:space="preserve"> </w:t>
      </w:r>
      <w:r>
        <w:t xml:space="preserve">in achieving excellence and upholding the dignity of the Indonesian judiciary.</w:t>
      </w:r>
    </w:p>
    <w:p>
      <w:pPr>
        <w:pStyle w:val="BodyText"/>
      </w:pPr>
      <w:r>
        <w:t xml:space="preserve">This document is confidential and intended solely for the use of the Supreme Court of the Republic of Indonesia and the Judicial Commission. Unauthorized distribution is prohibited.</w:t>
      </w:r>
    </w:p>
    <w:p>
      <w:pPr>
        <w:pStyle w:val="BodyText"/>
      </w:pPr>
      <w:r>
        <w:t xml:space="preserve">© 2023 Judicial Oversight Committee,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2026-10-10T07:36:40Z</dcterms:created>
  <dcterms:modified xsi:type="dcterms:W3CDTF">2026-10-10T07:36:40Z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