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Document Type:</w:t>
      </w:r>
      <w:r>
        <w:t xml:space="preserve"> </w:t>
      </w:r>
      <w:r>
        <w:t xml:space="preserve">Judicial Performance Evaluation</w:t>
      </w:r>
    </w:p>
    <w:p>
      <w:pPr>
        <w:pStyle w:val="BodyText"/>
      </w:pPr>
      <w:r>
        <w:t xml:space="preserve">Jurisdiction:</w:t>
      </w:r>
      <w:r>
        <w:t xml:space="preserve"> </w:t>
      </w:r>
      <w:r>
        <w:t xml:space="preserve">Iraq, Baghdad Governorate</w:t>
      </w:r>
    </w:p>
    <w:p>
      <w:pPr>
        <w:pStyle w:val="BodyText"/>
      </w:pPr>
      <w:r>
        <w:t xml:space="preserve">Date:</w:t>
      </w:r>
      <w:r>
        <w:t xml:space="preserve"> </w:t>
      </w:r>
      <w:r>
        <w:t xml:space="preserve">October 24, 2023</w:t>
      </w:r>
    </w:p>
    <w:p>
      <w:pPr>
        <w:pStyle w:val="BodyText"/>
      </w:pPr>
      <w:r>
        <w:t xml:space="preserve">Reference No:</w:t>
      </w:r>
      <w:r>
        <w:t xml:space="preserve"> </w:t>
      </w:r>
      <w:r>
        <w:t xml:space="preserve">BAG-JUD-PR-2023-089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reasoning, and administrative efficiency of a senior</w:t>
      </w:r>
      <w:r>
        <w:t xml:space="preserve"> </w:t>
      </w:r>
      <w:r>
        <w:rPr>
          <w:bCs/>
          <w:b/>
        </w:rPr>
        <w:t xml:space="preserve">Judge</w:t>
      </w:r>
      <w:r>
        <w:t xml:space="preserve"> </w:t>
      </w:r>
      <w:r>
        <w:t xml:space="preserve">serving within the Federal First Instance Court in the Al-Karkh district of</w:t>
      </w:r>
      <w:r>
        <w:t xml:space="preserve"> </w:t>
      </w:r>
      <w:r>
        <w:rPr>
          <w:bCs/>
          <w:b/>
        </w:rPr>
        <w:t xml:space="preserve">Iraq Baghdad</w:t>
      </w:r>
      <w:r>
        <w:t xml:space="preserve">. The purpose of this review is to ensure alignment with the Iraqi Code of Judicial Ethics, the Constitution of the Republic of Iraq, and international standards of judicial independence and integrity. The review process involved a comprehensive analysis of case files, courtroom observation, and confidential interviews with legal practitioners and court staff.</w:t>
      </w:r>
    </w:p>
    <w:p>
      <w:pPr>
        <w:pStyle w:val="BodyText"/>
      </w:pPr>
      <w:r>
        <w:t xml:space="preserve">The findings indicate that the</w:t>
      </w:r>
      <w:r>
        <w:t xml:space="preserve"> </w:t>
      </w:r>
      <w:r>
        <w:rPr>
          <w:bCs/>
          <w:b/>
        </w:rPr>
        <w:t xml:space="preserve">Judge</w:t>
      </w:r>
      <w:r>
        <w:t xml:space="preserve"> </w:t>
      </w:r>
      <w:r>
        <w:t xml:space="preserve">demonstrates a high level of legal acumen and a deep understanding of Iraqi civil and criminal law. However, the report identifies specific areas regarding case management and courtroom decorum that require attention to further enhance the efficiency of the judiciary in</w:t>
      </w:r>
      <w:r>
        <w:t xml:space="preserve"> </w:t>
      </w:r>
      <w:r>
        <w:rPr>
          <w:bCs/>
          <w:b/>
        </w:rPr>
        <w:t xml:space="preserve">Iraq Baghdad</w:t>
      </w:r>
      <w:r>
        <w:t xml:space="preserve">.</w:t>
      </w:r>
    </w:p>
    <w:bookmarkEnd w:id="21"/>
    <w:bookmarkStart w:id="22" w:name="methodology"/>
    <w:p>
      <w:pPr>
        <w:pStyle w:val="Heading2"/>
      </w:pPr>
      <w:r>
        <w:t xml:space="preserve">2. Methodology</w:t>
      </w:r>
    </w:p>
    <w:p>
      <w:pPr>
        <w:pStyle w:val="FirstParagraph"/>
      </w:pPr>
      <w:r>
        <w:t xml:space="preserve">The methodology for this</w:t>
      </w:r>
      <w:r>
        <w:t xml:space="preserve"> </w:t>
      </w:r>
      <w:r>
        <w:rPr>
          <w:bCs/>
          <w:b/>
        </w:rPr>
        <w:t xml:space="preserve">Peer Review Report</w:t>
      </w:r>
      <w:r>
        <w:t xml:space="preserve"> </w:t>
      </w:r>
      <w:r>
        <w:t xml:space="preserve">was designed to be objective, transparent, and respectful of the judicial process. The evaluation focused on the following pillars:</w:t>
      </w:r>
    </w:p>
    <w:p>
      <w:pPr>
        <w:numPr>
          <w:ilvl w:val="0"/>
          <w:numId w:val="1001"/>
        </w:numPr>
        <w:pStyle w:val="Compact"/>
      </w:pPr>
      <w:r>
        <w:rPr>
          <w:bCs/>
          <w:b/>
        </w:rPr>
        <w:t xml:space="preserve">Case File Analysis:</w:t>
      </w:r>
      <w:r>
        <w:t xml:space="preserve"> </w:t>
      </w:r>
      <w:r>
        <w:t xml:space="preserve">A random selection of 50 closed cases from the past 12 months was reviewed to assess the quality of written judgments, adherence to procedural law, and consistency in legal reasoning.</w:t>
      </w:r>
    </w:p>
    <w:p>
      <w:pPr>
        <w:numPr>
          <w:ilvl w:val="0"/>
          <w:numId w:val="1001"/>
        </w:numPr>
        <w:pStyle w:val="Compact"/>
      </w:pPr>
      <w:r>
        <w:rPr>
          <w:bCs/>
          <w:b/>
        </w:rPr>
        <w:t xml:space="preserve">Classroom Observation:</w:t>
      </w:r>
      <w:r>
        <w:t xml:space="preserve"> </w:t>
      </w:r>
      <w:r>
        <w:t xml:space="preserve">Three days of live courtroom observation were conducted to evaluate the</w:t>
      </w:r>
      <w:r>
        <w:t xml:space="preserve"> </w:t>
      </w:r>
      <w:r>
        <w:rPr>
          <w:bCs/>
          <w:b/>
        </w:rPr>
        <w:t xml:space="preserve">Judge</w:t>
      </w:r>
      <w:r>
        <w:t xml:space="preserve">'s interaction with litigants, lawyers, and witnesses.</w:t>
      </w:r>
    </w:p>
    <w:p>
      <w:pPr>
        <w:numPr>
          <w:ilvl w:val="0"/>
          <w:numId w:val="1001"/>
        </w:numPr>
        <w:pStyle w:val="Compact"/>
      </w:pPr>
      <w:r>
        <w:rPr>
          <w:bCs/>
          <w:b/>
        </w:rPr>
        <w:t xml:space="preserve">Stakeholder Feedback:</w:t>
      </w:r>
      <w:r>
        <w:t xml:space="preserve"> </w:t>
      </w:r>
      <w:r>
        <w:t xml:space="preserve">Anonymous surveys were distributed to practicing attorneys in</w:t>
      </w:r>
      <w:r>
        <w:t xml:space="preserve"> </w:t>
      </w:r>
      <w:r>
        <w:rPr>
          <w:bCs/>
          <w:b/>
        </w:rPr>
        <w:t xml:space="preserve">Iraq Baghdad</w:t>
      </w:r>
      <w:r>
        <w:t xml:space="preserve"> </w:t>
      </w:r>
      <w:r>
        <w:t xml:space="preserve">who have appeared before the</w:t>
      </w:r>
      <w:r>
        <w:t xml:space="preserve"> </w:t>
      </w:r>
      <w:r>
        <w:rPr>
          <w:bCs/>
          <w:b/>
        </w:rPr>
        <w:t xml:space="preserve">Judge</w:t>
      </w:r>
      <w:r>
        <w:t xml:space="preserve">.</w:t>
      </w:r>
    </w:p>
    <w:bookmarkEnd w:id="22"/>
    <w:bookmarkStart w:id="23" w:name="Xa7c2648edb435577b668f1f23db311eba98d65f"/>
    <w:p>
      <w:pPr>
        <w:pStyle w:val="Heading2"/>
      </w:pPr>
      <w:r>
        <w:t xml:space="preserve">3. Assessment of Judicial Competence and Legal Reasoning</w:t>
      </w:r>
    </w:p>
    <w:p>
      <w:pPr>
        <w:pStyle w:val="FirstParagraph"/>
      </w:pPr>
      <w:r>
        <w:t xml:space="preserve">The</w:t>
      </w:r>
      <w:r>
        <w:t xml:space="preserve"> </w:t>
      </w:r>
      <w:r>
        <w:rPr>
          <w:bCs/>
          <w:b/>
        </w:rPr>
        <w:t xml:space="preserve">Judge</w:t>
      </w:r>
      <w:r>
        <w:t xml:space="preserve"> </w:t>
      </w:r>
      <w:r>
        <w:t xml:space="preserve">exhibits exceptional competence in interpreting complex statutes relevant to the jurisdiction of</w:t>
      </w:r>
      <w:r>
        <w:t xml:space="preserve"> </w:t>
      </w:r>
      <w:r>
        <w:rPr>
          <w:bCs/>
          <w:b/>
        </w:rPr>
        <w:t xml:space="preserve">Iraq Baghdad</w:t>
      </w:r>
      <w:r>
        <w:t xml:space="preserve">. The written judgments analyzed during this</w:t>
      </w:r>
      <w:r>
        <w:t xml:space="preserve"> </w:t>
      </w:r>
      <w:r>
        <w:rPr>
          <w:bCs/>
          <w:b/>
        </w:rPr>
        <w:t xml:space="preserve">Peer Review Report</w:t>
      </w:r>
      <w:r>
        <w:t xml:space="preserve"> </w:t>
      </w:r>
      <w:r>
        <w:t xml:space="preserve">demonstrate a meticulous attention to detail. The</w:t>
      </w:r>
      <w:r>
        <w:t xml:space="preserve"> </w:t>
      </w:r>
      <w:r>
        <w:rPr>
          <w:bCs/>
          <w:b/>
        </w:rPr>
        <w:t xml:space="preserve">Judge</w:t>
      </w:r>
      <w:r>
        <w:t xml:space="preserve"> </w:t>
      </w:r>
      <w:r>
        <w:t xml:space="preserve">consistently cites relevant articles from the Iraqi Penal Code and Civil Code, ensuring that rulings are grounded in statutory law.</w:t>
      </w:r>
    </w:p>
    <w:p>
      <w:pPr>
        <w:pStyle w:val="BodyText"/>
      </w:pPr>
      <w:r>
        <w:t xml:space="preserve">Furthermore, the</w:t>
      </w:r>
      <w:r>
        <w:t xml:space="preserve"> </w:t>
      </w:r>
      <w:r>
        <w:rPr>
          <w:bCs/>
          <w:b/>
        </w:rPr>
        <w:t xml:space="preserve">Judge</w:t>
      </w:r>
      <w:r>
        <w:t xml:space="preserve"> </w:t>
      </w:r>
      <w:r>
        <w:t xml:space="preserve">shows a commendable ability to distinguish between binding precedents and persuasive authority. In cases involving property disputes—a common occurrence in Baghdad—the</w:t>
      </w:r>
      <w:r>
        <w:t xml:space="preserve"> </w:t>
      </w:r>
      <w:r>
        <w:rPr>
          <w:bCs/>
          <w:b/>
        </w:rPr>
        <w:t xml:space="preserve">Judge</w:t>
      </w:r>
      <w:r>
        <w:t xml:space="preserve"> </w:t>
      </w:r>
      <w:r>
        <w:t xml:space="preserve">has shown a nuanced understanding of local land registration issues, providing clear and enforceable rulings. This level of expertise contributes significantly to the legitimacy of the court system in the eyes of the public.</w:t>
      </w:r>
    </w:p>
    <w:bookmarkEnd w:id="23"/>
    <w:bookmarkStart w:id="24" w:name="courtroom-conduct-and-impartiality"/>
    <w:p>
      <w:pPr>
        <w:pStyle w:val="Heading2"/>
      </w:pPr>
      <w:r>
        <w:t xml:space="preserve">4. Courtroom Conduct and Impartiality</w:t>
      </w:r>
    </w:p>
    <w:p>
      <w:pPr>
        <w:pStyle w:val="FirstParagraph"/>
      </w:pPr>
      <w:r>
        <w:t xml:space="preserve">Impartiality is the cornerstone of judicial integrity.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maintains a neutral stance during proceedings. Observations indicate that the</w:t>
      </w:r>
      <w:r>
        <w:t xml:space="preserve"> </w:t>
      </w:r>
      <w:r>
        <w:rPr>
          <w:bCs/>
          <w:b/>
        </w:rPr>
        <w:t xml:space="preserve">Judge</w:t>
      </w:r>
      <w:r>
        <w:t xml:space="preserve"> </w:t>
      </w:r>
      <w:r>
        <w:t xml:space="preserve">treats all parties with equal respect, regardless of their social status or background. The</w:t>
      </w:r>
      <w:r>
        <w:t xml:space="preserve"> </w:t>
      </w:r>
      <w:r>
        <w:rPr>
          <w:bCs/>
          <w:b/>
        </w:rPr>
        <w:t xml:space="preserve">Judge</w:t>
      </w:r>
      <w:r>
        <w:t xml:space="preserve"> </w:t>
      </w:r>
      <w:r>
        <w:t xml:space="preserve">actively manages the courtroom to prevent intimidation of witnesses, which is a critical factor in maintaining the safety and fairness of trials in</w:t>
      </w:r>
      <w:r>
        <w:t xml:space="preserve"> </w:t>
      </w:r>
      <w:r>
        <w:rPr>
          <w:bCs/>
          <w:b/>
        </w:rPr>
        <w:t xml:space="preserve">Iraq Baghdad</w:t>
      </w:r>
      <w:r>
        <w:t xml:space="preserve">.</w:t>
      </w:r>
    </w:p>
    <w:p>
      <w:pPr>
        <w:pStyle w:val="BodyText"/>
      </w:pPr>
      <w:r>
        <w:t xml:space="preserve">However, the review noted occasional instances where the</w:t>
      </w:r>
      <w:r>
        <w:t xml:space="preserve"> </w:t>
      </w:r>
      <w:r>
        <w:rPr>
          <w:bCs/>
          <w:b/>
        </w:rPr>
        <w:t xml:space="preserve">Judge</w:t>
      </w:r>
      <w:r>
        <w:t xml:space="preserve"> </w:t>
      </w:r>
      <w:r>
        <w:t xml:space="preserve">appeared impatient with defense counsel during lengthy procedural arguments. While the intent was likely to expedite the trial, the tone occasionally bordered on dismissive. It is recommended that the</w:t>
      </w:r>
      <w:r>
        <w:t xml:space="preserve"> </w:t>
      </w:r>
      <w:r>
        <w:rPr>
          <w:bCs/>
          <w:b/>
        </w:rPr>
        <w:t xml:space="preserve">Judge</w:t>
      </w:r>
      <w:r>
        <w:t xml:space="preserve"> </w:t>
      </w:r>
      <w:r>
        <w:t xml:space="preserve">exercise greater patience to ensure that all legal arguments are fully heard, thereby reinforcing the perception of fairness.</w:t>
      </w:r>
    </w:p>
    <w:bookmarkEnd w:id="24"/>
    <w:bookmarkStart w:id="25" w:name="efficiency-and-case-management"/>
    <w:p>
      <w:pPr>
        <w:pStyle w:val="Heading2"/>
      </w:pPr>
      <w:r>
        <w:t xml:space="preserve">5. Efficiency and Case Management</w:t>
      </w:r>
    </w:p>
    <w:p>
      <w:pPr>
        <w:pStyle w:val="FirstParagraph"/>
      </w:pPr>
      <w:r>
        <w:t xml:space="preserve">The judicial system in</w:t>
      </w:r>
      <w:r>
        <w:t xml:space="preserve"> </w:t>
      </w:r>
      <w:r>
        <w:rPr>
          <w:bCs/>
          <w:b/>
        </w:rPr>
        <w:t xml:space="preserve">Iraq Baghdad</w:t>
      </w:r>
      <w:r>
        <w:t xml:space="preserve"> </w:t>
      </w:r>
      <w:r>
        <w:t xml:space="preserve">faces significant challenges regarding case backlogs. In this context, the efficiency of a</w:t>
      </w:r>
      <w:r>
        <w:t xml:space="preserve"> </w:t>
      </w:r>
      <w:r>
        <w:rPr>
          <w:bCs/>
          <w:b/>
        </w:rPr>
        <w:t xml:space="preserve">Judge</w:t>
      </w:r>
      <w:r>
        <w:t xml:space="preserve"> </w:t>
      </w:r>
      <w:r>
        <w:t xml:space="preserve">is paramount. This</w:t>
      </w:r>
      <w:r>
        <w:t xml:space="preserve"> </w:t>
      </w:r>
      <w:r>
        <w:rPr>
          <w:bCs/>
          <w:b/>
        </w:rPr>
        <w:t xml:space="preserve">Peer Review Report</w:t>
      </w:r>
      <w:r>
        <w:t xml:space="preserve"> </w:t>
      </w:r>
      <w:r>
        <w:t xml:space="preserve">highlights that the subject</w:t>
      </w:r>
      <w:r>
        <w:t xml:space="preserve"> </w:t>
      </w:r>
      <w:r>
        <w:rPr>
          <w:bCs/>
          <w:b/>
        </w:rPr>
        <w:t xml:space="preserve">Judge</w:t>
      </w:r>
      <w:r>
        <w:t xml:space="preserve"> </w:t>
      </w:r>
      <w:r>
        <w:t xml:space="preserve">maintains a docket that is slightly below the average clearance rate for the district. While the quality of judgments is high, the time taken to issue written rulings in complex criminal cases is often extended beyond the statutory limits.</w:t>
      </w:r>
    </w:p>
    <w:p>
      <w:pPr>
        <w:pStyle w:val="BodyText"/>
      </w:pPr>
      <w:r>
        <w:t xml:space="preserve">To address this, the</w:t>
      </w:r>
      <w:r>
        <w:t xml:space="preserve"> </w:t>
      </w:r>
      <w:r>
        <w:rPr>
          <w:bCs/>
          <w:b/>
        </w:rPr>
        <w:t xml:space="preserve">Judge</w:t>
      </w:r>
      <w:r>
        <w:t xml:space="preserve"> </w:t>
      </w:r>
      <w:r>
        <w:t xml:space="preserve">is encouraged to implement stricter time limits for oral arguments and to utilize pre-trial conferences more effectively. Streamlining these processes will help reduce the backlog and ensure that justice is delivered in a timely manner, which is a fundamental right under the Iraqi Constitution.</w:t>
      </w:r>
    </w:p>
    <w:bookmarkEnd w:id="25"/>
    <w:bookmarkStart w:id="26" w:name="ethical-standards-and-integrity"/>
    <w:p>
      <w:pPr>
        <w:pStyle w:val="Heading2"/>
      </w:pPr>
      <w:r>
        <w:t xml:space="preserve">6. Ethical Standards and Integrity</w:t>
      </w:r>
    </w:p>
    <w:p>
      <w:pPr>
        <w:pStyle w:val="FirstParagraph"/>
      </w:pPr>
      <w:r>
        <w:t xml:space="preserve">The</w:t>
      </w:r>
      <w:r>
        <w:t xml:space="preserve"> </w:t>
      </w:r>
      <w:r>
        <w:rPr>
          <w:bCs/>
          <w:b/>
        </w:rPr>
        <w:t xml:space="preserve">Judge</w:t>
      </w:r>
      <w:r>
        <w:t xml:space="preserve"> </w:t>
      </w:r>
      <w:r>
        <w:t xml:space="preserve">has maintained an impeccable record regarding ethical conduct. There were no reports of corruption, bribery, or ex parte communications during the period covered by this</w:t>
      </w:r>
      <w:r>
        <w:t xml:space="preserve"> </w:t>
      </w:r>
      <w:r>
        <w:rPr>
          <w:bCs/>
          <w:b/>
        </w:rPr>
        <w:t xml:space="preserve">Peer Review Report</w:t>
      </w:r>
      <w:r>
        <w:t xml:space="preserve">. The</w:t>
      </w:r>
      <w:r>
        <w:t xml:space="preserve"> </w:t>
      </w:r>
      <w:r>
        <w:rPr>
          <w:bCs/>
          <w:b/>
        </w:rPr>
        <w:t xml:space="preserve">Judge</w:t>
      </w:r>
      <w:r>
        <w:t xml:space="preserve"> </w:t>
      </w:r>
      <w:r>
        <w:t xml:space="preserve">strictly adheres to the conflict of interest rules, recusing themselves appropriately when personal connections to a case were identified. This commitment to integrity is vital for restoring public trust in the judiciary of</w:t>
      </w:r>
      <w:r>
        <w:t xml:space="preserve"> </w:t>
      </w:r>
      <w:r>
        <w:rPr>
          <w:bCs/>
          <w:b/>
        </w:rPr>
        <w:t xml:space="preserve">Iraq Baghdad</w:t>
      </w:r>
      <w:r>
        <w:t xml:space="preserve">.</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2"/>
        </w:numPr>
        <w:pStyle w:val="Compact"/>
      </w:pPr>
      <w:r>
        <w:rPr>
          <w:bCs/>
          <w:b/>
        </w:rPr>
        <w:t xml:space="preserve">Enhance Case Management:</w:t>
      </w:r>
      <w:r>
        <w:t xml:space="preserve"> </w:t>
      </w:r>
      <w:r>
        <w:t xml:space="preserve">Adopt stricter scheduling orders to reduce the time between trial conclusion and the issuance of judgments.</w:t>
      </w:r>
    </w:p>
    <w:p>
      <w:pPr>
        <w:numPr>
          <w:ilvl w:val="0"/>
          <w:numId w:val="1002"/>
        </w:numPr>
        <w:pStyle w:val="Compact"/>
      </w:pPr>
      <w:r>
        <w:rPr>
          <w:bCs/>
          <w:b/>
        </w:rPr>
        <w:t xml:space="preserve">Professional Development:</w:t>
      </w:r>
      <w:r>
        <w:t xml:space="preserve"> </w:t>
      </w:r>
      <w:r>
        <w:t xml:space="preserve">Participate in workshops on judicial temperament and courtroom management to refine interactions with legal counsel.</w:t>
      </w:r>
    </w:p>
    <w:p>
      <w:pPr>
        <w:numPr>
          <w:ilvl w:val="0"/>
          <w:numId w:val="1002"/>
        </w:numPr>
        <w:pStyle w:val="Compact"/>
      </w:pPr>
      <w:r>
        <w:rPr>
          <w:bCs/>
          <w:b/>
        </w:rPr>
        <w:t xml:space="preserve">Technology Utilization:</w:t>
      </w:r>
      <w:r>
        <w:t xml:space="preserve"> </w:t>
      </w:r>
      <w:r>
        <w:t xml:space="preserve">Leverage digital case management tools available in</w:t>
      </w:r>
      <w:r>
        <w:t xml:space="preserve"> </w:t>
      </w:r>
      <w:r>
        <w:rPr>
          <w:bCs/>
          <w:b/>
        </w:rPr>
        <w:t xml:space="preserve">Iraq Baghdad</w:t>
      </w:r>
      <w:r>
        <w:t xml:space="preserve"> </w:t>
      </w:r>
      <w:r>
        <w:t xml:space="preserve">courts to track deadlines and document submissions more efficiently.</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dedicated and highly competent legal professional who serves the people of</w:t>
      </w:r>
      <w:r>
        <w:t xml:space="preserve"> </w:t>
      </w:r>
      <w:r>
        <w:rPr>
          <w:bCs/>
          <w:b/>
        </w:rPr>
        <w:t xml:space="preserve">Iraq Baghdad</w:t>
      </w:r>
      <w:r>
        <w:t xml:space="preserve"> </w:t>
      </w:r>
      <w:r>
        <w:t xml:space="preserve">with integrity. While there are minor areas for improvement regarding efficiency and courtroom demeanor, the overall performance is rated as "Satisfactory to Good." The</w:t>
      </w:r>
      <w:r>
        <w:t xml:space="preserve"> </w:t>
      </w:r>
      <w:r>
        <w:rPr>
          <w:bCs/>
          <w:b/>
        </w:rPr>
        <w:t xml:space="preserve">Judge</w:t>
      </w:r>
      <w:r>
        <w:t xml:space="preserve"> </w:t>
      </w:r>
      <w:r>
        <w:t xml:space="preserve">plays a crucial role in upholding the rule of law, and with the implementation of the recommended improvements, their contribution to the judicial system will be further strengthened.</w:t>
      </w:r>
    </w:p>
    <w:bookmarkEnd w:id="28"/>
    <w:p>
      <w:pPr>
        <w:pStyle w:val="BodyText"/>
      </w:pPr>
      <w:r>
        <w:rPr>
          <w:bCs/>
          <w:b/>
        </w:rPr>
        <w:t xml:space="preserve">Prepared By:</w:t>
      </w:r>
      <w:r>
        <w:br/>
      </w:r>
      <w:r>
        <w:t xml:space="preserve">Senior Judicial Reviewer</w:t>
      </w:r>
      <w:r>
        <w:br/>
      </w:r>
      <w:r>
        <w:t xml:space="preserve">Baghdad Judicial Council</w:t>
      </w:r>
    </w:p>
    <w:p>
      <w:pPr>
        <w:pStyle w:val="BodyText"/>
      </w:pPr>
      <w:r>
        <w:rPr>
          <w:bCs/>
          <w:b/>
        </w:rPr>
        <w:t xml:space="preserve">Reviewed By:</w:t>
      </w:r>
      <w:r>
        <w:br/>
      </w:r>
      <w:r>
        <w:t xml:space="preserve">Head of Ethics Committee</w:t>
      </w:r>
      <w:r>
        <w:br/>
      </w:r>
      <w:r>
        <w:t xml:space="preserve">Supreme Judicial Council of Iraq</w:t>
      </w:r>
    </w:p>
    <w:p>
      <w:pPr>
        <w:pStyle w:val="BodyText"/>
      </w:pPr>
      <w:r>
        <w:t xml:space="preserve">Confidential Document - For Official Use Only. This Peer Review Report is the property of the Judicial Council of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2026-10-10T03:43:25Z</dcterms:created>
  <dcterms:modified xsi:type="dcterms:W3CDTF">2026-10-10T03:43:25Z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