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and Professional Competence Assessment</w:t>
      </w:r>
    </w:p>
    <w:p>
      <w:pPr>
        <w:pStyle w:val="BodyText"/>
      </w:pPr>
      <w:r>
        <w:rPr>
          <w:bCs/>
          <w:b/>
        </w:rPr>
        <w:t xml:space="preserve">Date of Report:</w:t>
      </w:r>
      <w:r>
        <w:t xml:space="preserve"> </w:t>
      </w:r>
      <w:r>
        <w:t xml:space="preserve">October 24, 2023</w:t>
      </w:r>
    </w:p>
    <w:p>
      <w:pPr>
        <w:pStyle w:val="BodyText"/>
      </w:pPr>
      <w:r>
        <w:rPr>
          <w:bCs/>
          <w:b/>
        </w:rPr>
        <w:t xml:space="preserve">Reference ID:</w:t>
      </w:r>
      <w:r>
        <w:t xml:space="preserve"> </w:t>
      </w:r>
      <w:r>
        <w:t xml:space="preserve">PR-IT-MIL-2023-089</w:t>
      </w:r>
    </w:p>
    <w:p>
      <w:pPr>
        <w:pStyle w:val="BodyText"/>
      </w:pPr>
      <w:r>
        <w:rPr>
          <w:bCs/>
          <w:b/>
        </w:rPr>
        <w:t xml:space="preserve">Subject Role:</w:t>
      </w:r>
      <w:r>
        <w:t xml:space="preserve"> </w:t>
      </w:r>
      <w:r>
        <w:t xml:space="preserve">Judge (Tribunale Ordinario)</w:t>
      </w:r>
    </w:p>
    <w:p>
      <w:pPr>
        <w:pStyle w:val="BodyText"/>
      </w:pPr>
      <w:r>
        <w:rPr>
          <w:bCs/>
          <w:b/>
        </w:rPr>
        <w:t xml:space="preserve">Jurisdiction:</w:t>
      </w:r>
      <w:r>
        <w:t xml:space="preserve"> </w:t>
      </w:r>
      <w:r>
        <w:t xml:space="preserve">Italy Milan (Milano)</w:t>
      </w:r>
    </w:p>
    <w:p>
      <w:pPr>
        <w:pStyle w:val="BodyText"/>
      </w:pPr>
      <w:r>
        <w:rPr>
          <w:bCs/>
          <w:b/>
        </w:rPr>
        <w:t xml:space="preserve">Review Panel:</w:t>
      </w:r>
      <w:r>
        <w:t xml:space="preserve"> </w:t>
      </w:r>
      <w:r>
        <w:t xml:space="preserve">High Council of the Judiciary (CSM) Peer Committee</w:t>
      </w:r>
    </w:p>
    <w:p>
      <w:pPr>
        <w:pStyle w:val="BodyText"/>
      </w:pPr>
      <w:r>
        <w:rPr>
          <w:bCs/>
          <w:b/>
        </w:rPr>
        <w:t xml:space="preserve">Confidentiality:</w:t>
      </w:r>
      <w:r>
        <w:t xml:space="preserve"> </w:t>
      </w:r>
      <w:r>
        <w:t xml:space="preserve">Restricted / 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administrative efficiency of a sitting</w:t>
      </w:r>
      <w:r>
        <w:t xml:space="preserve"> </w:t>
      </w:r>
      <w:r>
        <w:rPr>
          <w:bCs/>
          <w:b/>
        </w:rPr>
        <w:t xml:space="preserve">Judge</w:t>
      </w:r>
      <w:r>
        <w:t xml:space="preserve"> </w:t>
      </w:r>
      <w:r>
        <w:t xml:space="preserve">within the jurisdiction of</w:t>
      </w:r>
      <w:r>
        <w:t xml:space="preserve"> </w:t>
      </w:r>
      <w:r>
        <w:rPr>
          <w:bCs/>
          <w:b/>
        </w:rPr>
        <w:t xml:space="preserve">Italy Milan</w:t>
      </w:r>
      <w:r>
        <w:t xml:space="preserve">. The assessment is conducted in accordance with the ethical guidelines established by the High Council of the Judiciary (Consiglio Superiore della Magistratura) and international standards for judicial accountability.</w:t>
      </w:r>
    </w:p>
    <w:p>
      <w:pPr>
        <w:pStyle w:val="BodyText"/>
      </w:pPr>
      <w:r>
        <w:t xml:space="preserve">The review focuses on the subject's performance over the preceding twenty-four months, analyzing case management within the bustling legal environment of Milan, one of Europe's most significant commercial and civil law hubs. The overall objective is to ensure that the</w:t>
      </w:r>
      <w:r>
        <w:t xml:space="preserve"> </w:t>
      </w:r>
      <w:r>
        <w:rPr>
          <w:bCs/>
          <w:b/>
        </w:rPr>
        <w:t xml:space="preserve">Judge</w:t>
      </w:r>
      <w:r>
        <w:t xml:space="preserve"> </w:t>
      </w:r>
      <w:r>
        <w:t xml:space="preserve">maintains the highest standards of impartiality, legal acumen, and procedural fairness required by the Italian Constitution and the specific demands of the Milanese court system.</w:t>
      </w:r>
    </w:p>
    <w:bookmarkEnd w:id="21"/>
    <w:bookmarkStart w:id="22" w:name="X78d7569e8efc4bd342d357cae4ee433ce04ae7d"/>
    <w:p>
      <w:pPr>
        <w:pStyle w:val="Heading2"/>
      </w:pPr>
      <w:r>
        <w:t xml:space="preserve">2. Contextual Framework: The Milanese Judiciary</w:t>
      </w:r>
    </w:p>
    <w:p>
      <w:pPr>
        <w:pStyle w:val="FirstParagraph"/>
      </w:pPr>
      <w:r>
        <w:t xml:space="preserve">Evaluating a</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requires a nuanced understanding of the local legal landscape. The courts in Milan handle a disproportionately high volume of complex civil, commercial, and corporate litigation compared to other Italian jurisdictions. Consequently, the expectations for a</w:t>
      </w:r>
      <w:r>
        <w:t xml:space="preserve"> </w:t>
      </w:r>
      <w:r>
        <w:rPr>
          <w:bCs/>
          <w:b/>
        </w:rPr>
        <w:t xml:space="preserve">Judge</w:t>
      </w:r>
      <w:r>
        <w:t xml:space="preserve"> </w:t>
      </w:r>
      <w:r>
        <w:t xml:space="preserve">operating in this region are elevated regarding both speed and precision.</w:t>
      </w:r>
    </w:p>
    <w:p>
      <w:pPr>
        <w:pStyle w:val="BodyText"/>
      </w:pPr>
      <w:r>
        <w:t xml:space="preserve">This</w:t>
      </w:r>
      <w:r>
        <w:t xml:space="preserve"> </w:t>
      </w:r>
      <w:r>
        <w:rPr>
          <w:bCs/>
          <w:b/>
        </w:rPr>
        <w:t xml:space="preserve">Peer Review Report</w:t>
      </w:r>
      <w:r>
        <w:t xml:space="preserve"> </w:t>
      </w:r>
      <w:r>
        <w:t xml:space="preserve">acknowledges that the subject operates under significant pressure. The review assesses whether the</w:t>
      </w:r>
      <w:r>
        <w:t xml:space="preserve"> </w:t>
      </w:r>
      <w:r>
        <w:rPr>
          <w:bCs/>
          <w:b/>
        </w:rPr>
        <w:t xml:space="preserve">Judge</w:t>
      </w:r>
      <w:r>
        <w:t xml:space="preserve"> </w:t>
      </w:r>
      <w:r>
        <w:t xml:space="preserve">has successfully balanced the need for expeditious case resolution with the rigorous demands of due process. Furthermore, the review considers the</w:t>
      </w:r>
      <w:r>
        <w:t xml:space="preserve"> </w:t>
      </w:r>
      <w:r>
        <w:rPr>
          <w:bCs/>
          <w:b/>
        </w:rPr>
        <w:t xml:space="preserve">Judge</w:t>
      </w:r>
      <w:r>
        <w:t xml:space="preserve">'s ability to navigate the intersection of traditional Italian civil law and modern international commercial practices prevalent in Milan.</w:t>
      </w:r>
    </w:p>
    <w:bookmarkEnd w:id="22"/>
    <w:bookmarkStart w:id="25" w:name="assessment-of-judicial-competence"/>
    <w:p>
      <w:pPr>
        <w:pStyle w:val="Heading2"/>
      </w:pPr>
      <w:r>
        <w:t xml:space="preserve">3. Assessment of Judicial Competence</w:t>
      </w:r>
    </w:p>
    <w:bookmarkStart w:id="23" w:name="legal-reasoning-and-application-of-law"/>
    <w:p>
      <w:pPr>
        <w:pStyle w:val="Heading3"/>
      </w:pPr>
      <w:r>
        <w:t xml:space="preserve">3.1 Legal Reasoning and Application of Law</w:t>
      </w:r>
    </w:p>
    <w:p>
      <w:pPr>
        <w:pStyle w:val="FirstParagraph"/>
      </w:pPr>
      <w:r>
        <w:t xml:space="preserve">The peer panel reviewed a random sample of fifty judgments issued by the</w:t>
      </w:r>
      <w:r>
        <w:t xml:space="preserve"> </w:t>
      </w:r>
      <w:r>
        <w:rPr>
          <w:bCs/>
          <w:b/>
        </w:rPr>
        <w:t xml:space="preserve">Judge</w:t>
      </w:r>
      <w:r>
        <w:t xml:space="preserve"> </w:t>
      </w:r>
      <w:r>
        <w:t xml:space="preserve">between January 2022 and December 2023. The analysis indicates a high level of technical proficiency. The</w:t>
      </w:r>
      <w:r>
        <w:t xml:space="preserve"> </w:t>
      </w:r>
      <w:r>
        <w:rPr>
          <w:bCs/>
          <w:b/>
        </w:rPr>
        <w:t xml:space="preserve">Judge</w:t>
      </w:r>
      <w:r>
        <w:t xml:space="preserve"> </w:t>
      </w:r>
      <w:r>
        <w:t xml:space="preserve">demonstrates a thorough understanding of the Italian Civil Code and relevant procedural laws.</w:t>
      </w:r>
    </w:p>
    <w:p>
      <w:pPr>
        <w:pStyle w:val="BodyText"/>
      </w:pPr>
      <w:r>
        <w:t xml:space="preserve">In cases involving complex corporate restructuring—a frequent occurrence in</w:t>
      </w:r>
      <w:r>
        <w:t xml:space="preserve"> </w:t>
      </w:r>
      <w:r>
        <w:rPr>
          <w:bCs/>
          <w:b/>
        </w:rPr>
        <w:t xml:space="preserve">Italy Milan</w:t>
      </w:r>
      <w:r>
        <w:t xml:space="preserve">—the</w:t>
      </w:r>
      <w:r>
        <w:t xml:space="preserve"> </w:t>
      </w:r>
      <w:r>
        <w:rPr>
          <w:bCs/>
          <w:b/>
        </w:rPr>
        <w:t xml:space="preserve">Judge</w:t>
      </w:r>
      <w:r>
        <w:t xml:space="preserve"> </w:t>
      </w:r>
      <w:r>
        <w:t xml:space="preserve">exhibited exceptional clarity in distinguishing between competing legal theories. The written opinions are logically structured, well-referenced, and free from significant legal errors. The</w:t>
      </w:r>
      <w:r>
        <w:t xml:space="preserve"> </w:t>
      </w:r>
      <w:r>
        <w:rPr>
          <w:bCs/>
          <w:b/>
        </w:rPr>
        <w:t xml:space="preserve">Judge</w:t>
      </w:r>
      <w:r>
        <w:t xml:space="preserve"> </w:t>
      </w:r>
      <w:r>
        <w:t xml:space="preserve">consistently applies precedents set by the Corte di Cassazione correctly, ensuring legal certainty for litigants.</w:t>
      </w:r>
    </w:p>
    <w:bookmarkEnd w:id="23"/>
    <w:bookmarkStart w:id="24" w:name="impartiality-and-independence"/>
    <w:p>
      <w:pPr>
        <w:pStyle w:val="Heading3"/>
      </w:pPr>
      <w:r>
        <w:t xml:space="preserve">3.2 Impartiality and Independence</w:t>
      </w:r>
    </w:p>
    <w:p>
      <w:pPr>
        <w:pStyle w:val="FirstParagraph"/>
      </w:pPr>
      <w:r>
        <w:t xml:space="preserve">A cornerstone of this</w:t>
      </w:r>
      <w:r>
        <w:t xml:space="preserve"> </w:t>
      </w:r>
      <w:r>
        <w:rPr>
          <w:bCs/>
          <w:b/>
        </w:rPr>
        <w:t xml:space="preserve">Peer Review Report</w:t>
      </w:r>
      <w:r>
        <w:t xml:space="preserve"> </w:t>
      </w:r>
      <w:r>
        <w:t xml:space="preserve">is the evaluation of the</w:t>
      </w:r>
      <w:r>
        <w:t xml:space="preserve"> </w:t>
      </w:r>
      <w:r>
        <w:rPr>
          <w:bCs/>
          <w:b/>
        </w:rPr>
        <w:t xml:space="preserve">Judge</w:t>
      </w:r>
      <w:r>
        <w:t xml:space="preserve">'s impartiality. Given Milan's status as a center of economic power, the risk of perceived bias is a critical factor. The review found no evidence of partiality or external influence. The</w:t>
      </w:r>
      <w:r>
        <w:t xml:space="preserve"> </w:t>
      </w:r>
      <w:r>
        <w:rPr>
          <w:bCs/>
          <w:b/>
        </w:rPr>
        <w:t xml:space="preserve">Judge</w:t>
      </w:r>
      <w:r>
        <w:t xml:space="preserve"> </w:t>
      </w:r>
      <w:r>
        <w:t xml:space="preserve">has consistently recused themselves in situations where a conflict of interest might be reasonably suspected, adhering strictly to the Code of Judicial Ethics.</w:t>
      </w:r>
    </w:p>
    <w:p>
      <w:pPr>
        <w:pStyle w:val="BodyText"/>
      </w:pPr>
      <w:r>
        <w:t xml:space="preserve">The</w:t>
      </w:r>
      <w:r>
        <w:t xml:space="preserve"> </w:t>
      </w:r>
      <w:r>
        <w:rPr>
          <w:bCs/>
          <w:b/>
        </w:rPr>
        <w:t xml:space="preserve">Judge</w:t>
      </w:r>
      <w:r>
        <w:t xml:space="preserve"> </w:t>
      </w:r>
      <w:r>
        <w:t xml:space="preserve">treats all parties, regardless of their corporate stature or legal representation, with equal respect and procedural consideration. This adherence to equality before the law is vital for maintaining public trust in the judiciary of</w:t>
      </w:r>
      <w:r>
        <w:t xml:space="preserve"> </w:t>
      </w:r>
      <w:r>
        <w:rPr>
          <w:bCs/>
          <w:b/>
        </w:rPr>
        <w:t xml:space="preserve">Italy Milan</w:t>
      </w:r>
      <w:r>
        <w:t xml:space="preserve">.</w:t>
      </w:r>
    </w:p>
    <w:bookmarkEnd w:id="24"/>
    <w:bookmarkEnd w:id="25"/>
    <w:bookmarkStart w:id="26" w:name="case-management-and-efficiency"/>
    <w:p>
      <w:pPr>
        <w:pStyle w:val="Heading2"/>
      </w:pPr>
      <w:r>
        <w:t xml:space="preserve">4. Case Management and Efficiency</w:t>
      </w:r>
    </w:p>
    <w:p>
      <w:pPr>
        <w:pStyle w:val="FirstParagraph"/>
      </w:pPr>
      <w:r>
        <w:t xml:space="preserve">Efficiency is a paramount concern for the courts in</w:t>
      </w:r>
      <w:r>
        <w:t xml:space="preserve"> </w:t>
      </w:r>
      <w:r>
        <w:rPr>
          <w:bCs/>
          <w:b/>
        </w:rPr>
        <w:t xml:space="preserve">Italy Milan</w:t>
      </w:r>
      <w:r>
        <w:t xml:space="preserve">, where backlogs can delay justice for years. This</w:t>
      </w:r>
      <w:r>
        <w:t xml:space="preserve"> </w:t>
      </w:r>
      <w:r>
        <w:rPr>
          <w:bCs/>
          <w:b/>
        </w:rPr>
        <w:t xml:space="preserve">Peer Review Report</w:t>
      </w:r>
      <w:r>
        <w:t xml:space="preserve"> </w:t>
      </w:r>
      <w:r>
        <w:t xml:space="preserve">highlights the</w:t>
      </w:r>
      <w:r>
        <w:t xml:space="preserve"> </w:t>
      </w:r>
      <w:r>
        <w:rPr>
          <w:bCs/>
          <w:b/>
        </w:rPr>
        <w:t xml:space="preserve">Judge</w:t>
      </w:r>
      <w:r>
        <w:t xml:space="preserve">'s performance in case management metrics.</w:t>
      </w:r>
    </w:p>
    <w:p>
      <w:pPr>
        <w:pStyle w:val="BodyText"/>
      </w:pPr>
      <w:r>
        <w:t xml:space="preserve">The data indicates that the</w:t>
      </w:r>
      <w:r>
        <w:t xml:space="preserve"> </w:t>
      </w:r>
      <w:r>
        <w:rPr>
          <w:bCs/>
          <w:b/>
        </w:rPr>
        <w:t xml:space="preserve">Judge</w:t>
      </w:r>
      <w:r>
        <w:t xml:space="preserve"> </w:t>
      </w:r>
      <w:r>
        <w:t xml:space="preserve">maintains a docket clearance rate that is 15% above the average for the district. This is achieved not by sacrificing quality, but through effective scheduling, strict adherence to procedural deadlines, and the proactive use of preliminary conferences to narrow issues. The</w:t>
      </w:r>
      <w:r>
        <w:t xml:space="preserve"> </w:t>
      </w:r>
      <w:r>
        <w:rPr>
          <w:bCs/>
          <w:b/>
        </w:rPr>
        <w:t xml:space="preserve">Judge</w:t>
      </w:r>
      <w:r>
        <w:t xml:space="preserve"> </w:t>
      </w:r>
      <w:r>
        <w:t xml:space="preserve">has been instrumental in utilizing digital case management tools introduced recently by the Italian Ministry of Justice, thereby streamlining administrative workflows.</w:t>
      </w:r>
    </w:p>
    <w:p>
      <w:pPr>
        <w:pStyle w:val="BodyText"/>
      </w:pPr>
      <w:r>
        <w:t xml:space="preserve">However, the review notes that in highly complex multi-party litigation, the</w:t>
      </w:r>
      <w:r>
        <w:t xml:space="preserve"> </w:t>
      </w:r>
      <w:r>
        <w:rPr>
          <w:bCs/>
          <w:b/>
        </w:rPr>
        <w:t xml:space="preserve">Judge</w:t>
      </w:r>
      <w:r>
        <w:t xml:space="preserve"> </w:t>
      </w:r>
      <w:r>
        <w:t xml:space="preserve">occasionally allows proceedings to extend beyond initial estimates. While the outcomes are sound, there is room for improvement in setting more realistic timelines at the outset of such cases.</w:t>
      </w:r>
    </w:p>
    <w:bookmarkEnd w:id="26"/>
    <w:bookmarkStart w:id="27" w:name="professional-conduct-and-ethics"/>
    <w:p>
      <w:pPr>
        <w:pStyle w:val="Heading2"/>
      </w:pPr>
      <w:r>
        <w:t xml:space="preserve">5. Professional Conduct and Ethics</w:t>
      </w:r>
    </w:p>
    <w:p>
      <w:pPr>
        <w:pStyle w:val="FirstParagraph"/>
      </w:pPr>
      <w:r>
        <w:t xml:space="preserve">The</w:t>
      </w:r>
      <w:r>
        <w:t xml:space="preserve"> </w:t>
      </w:r>
      <w:r>
        <w:rPr>
          <w:bCs/>
          <w:b/>
        </w:rPr>
        <w:t xml:space="preserve">Judge</w:t>
      </w:r>
      <w:r>
        <w:t xml:space="preserve">'s conduct both on and off the bench was scrutinized as part of this</w:t>
      </w:r>
      <w:r>
        <w:t xml:space="preserve"> </w:t>
      </w:r>
      <w:r>
        <w:rPr>
          <w:bCs/>
          <w:b/>
        </w:rPr>
        <w:t xml:space="preserve">Peer Review Report</w:t>
      </w:r>
      <w:r>
        <w:t xml:space="preserve">. The subject is regarded by peers, court staff, and legal practitioners in</w:t>
      </w:r>
      <w:r>
        <w:t xml:space="preserve"> </w:t>
      </w:r>
      <w:r>
        <w:rPr>
          <w:bCs/>
          <w:b/>
        </w:rPr>
        <w:t xml:space="preserve">Italy Milan</w:t>
      </w:r>
      <w:r>
        <w:t xml:space="preserve"> </w:t>
      </w:r>
      <w:r>
        <w:t xml:space="preserve">as a figure of integrity and professionalism.</w:t>
      </w:r>
    </w:p>
    <w:p>
      <w:pPr>
        <w:pStyle w:val="BodyText"/>
      </w:pPr>
      <w:r>
        <w:t xml:space="preserve">The</w:t>
      </w:r>
      <w:r>
        <w:t xml:space="preserve"> </w:t>
      </w:r>
      <w:r>
        <w:rPr>
          <w:bCs/>
          <w:b/>
        </w:rPr>
        <w:t xml:space="preserve">Judge</w:t>
      </w:r>
      <w:r>
        <w:t xml:space="preserve"> </w:t>
      </w:r>
      <w:r>
        <w:t xml:space="preserve">maintains appropriate boundaries with attorneys and litigants, avoiding ex parte communications. Furthermore, the</w:t>
      </w:r>
      <w:r>
        <w:t xml:space="preserve"> </w:t>
      </w:r>
      <w:r>
        <w:rPr>
          <w:bCs/>
          <w:b/>
        </w:rPr>
        <w:t xml:space="preserve">Judge</w:t>
      </w:r>
      <w:r>
        <w:t xml:space="preserve"> </w:t>
      </w:r>
      <w:r>
        <w:t xml:space="preserve">has participated actively in continuing legal education programs, specifically those focused on international arbitration and digital evidence, reflecting a commitment to professional development relevant to the evolving legal needs of Milan.</w:t>
      </w:r>
    </w:p>
    <w:bookmarkEnd w:id="27"/>
    <w:bookmarkStart w:id="28" w:name="quantitative-ratings"/>
    <w:p>
      <w:pPr>
        <w:pStyle w:val="Heading2"/>
      </w:pPr>
      <w:r>
        <w:t xml:space="preserve">6. Quantitative Ratings</w:t>
      </w:r>
    </w:p>
    <w:p>
      <w:pPr>
        <w:pStyle w:val="FirstParagraph"/>
      </w:pPr>
      <w:r>
        <w:t xml:space="preserve">Legal Knowledge &amp; Reasoning</w:t>
      </w:r>
      <w:r>
        <w:t xml:space="preserve"> </w:t>
      </w:r>
      <w:r>
        <w:t xml:space="preserve">9.5 / 10</w:t>
      </w:r>
    </w:p>
    <w:p>
      <w:pPr>
        <w:pStyle w:val="BodyText"/>
      </w:pPr>
      <w:r>
        <w:t xml:space="preserve">Impartiality &amp; Ethics</w:t>
      </w:r>
      <w:r>
        <w:t xml:space="preserve"> </w:t>
      </w:r>
      <w:r>
        <w:t xml:space="preserve">10 / 10</w:t>
      </w:r>
    </w:p>
    <w:p>
      <w:pPr>
        <w:pStyle w:val="BodyText"/>
      </w:pPr>
      <w:r>
        <w:t xml:space="preserve">Case Management Efficiency</w:t>
      </w:r>
      <w:r>
        <w:t xml:space="preserve"> </w:t>
      </w:r>
      <w:r>
        <w:t xml:space="preserve">8.5 / 10</w:t>
      </w:r>
    </w:p>
    <w:p>
      <w:pPr>
        <w:pStyle w:val="BodyText"/>
      </w:pPr>
      <w:r>
        <w:t xml:space="preserve">Communication &amp; Clarity</w:t>
      </w:r>
      <w:r>
        <w:t xml:space="preserve"> </w:t>
      </w:r>
      <w:r>
        <w:t xml:space="preserve">9.0 / 10</w:t>
      </w:r>
    </w:p>
    <w:p>
      <w:pPr>
        <w:pStyle w:val="BodyText"/>
      </w:pPr>
      <w:r>
        <w:t xml:space="preserve">Overall Performance</w:t>
      </w:r>
      <w:r>
        <w:t xml:space="preserve"> </w:t>
      </w:r>
      <w:r>
        <w:t xml:space="preserve">9.2 / 10</w:t>
      </w:r>
    </w:p>
    <w:bookmarkEnd w:id="28"/>
    <w:bookmarkStart w:id="29"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regarding the</w:t>
      </w:r>
      <w:r>
        <w:t xml:space="preserve"> </w:t>
      </w:r>
      <w:r>
        <w:rPr>
          <w:bCs/>
          <w:b/>
        </w:rPr>
        <w:t xml:space="preserve">Judge</w:t>
      </w:r>
      <w:r>
        <w:t xml:space="preserve">'s continued service in</w:t>
      </w:r>
      <w:r>
        <w:t xml:space="preserve"> </w:t>
      </w:r>
      <w:r>
        <w:rPr>
          <w:bCs/>
          <w:b/>
        </w:rPr>
        <w:t xml:space="preserve">Italy Milan</w:t>
      </w:r>
      <w:r>
        <w:t xml:space="preserve">:</w:t>
      </w:r>
    </w:p>
    <w:p>
      <w:pPr>
        <w:numPr>
          <w:ilvl w:val="0"/>
          <w:numId w:val="1001"/>
        </w:numPr>
        <w:pStyle w:val="Compact"/>
      </w:pPr>
      <w:r>
        <w:rPr>
          <w:bCs/>
          <w:b/>
        </w:rPr>
        <w:t xml:space="preserve">Maintain Current Trajectory:</w:t>
      </w:r>
      <w:r>
        <w:t xml:space="preserve"> </w:t>
      </w:r>
      <w:r>
        <w:t xml:space="preserve">The</w:t>
      </w:r>
      <w:r>
        <w:t xml:space="preserve"> </w:t>
      </w:r>
      <w:r>
        <w:rPr>
          <w:bCs/>
          <w:b/>
        </w:rPr>
        <w:t xml:space="preserve">Judge</w:t>
      </w:r>
      <w:r>
        <w:t xml:space="preserve"> </w:t>
      </w:r>
      <w:r>
        <w:t xml:space="preserve">should continue their current approach to legal reasoning and ethical conduct, which serves as a model for the court.</w:t>
      </w:r>
    </w:p>
    <w:p>
      <w:pPr>
        <w:numPr>
          <w:ilvl w:val="0"/>
          <w:numId w:val="1001"/>
        </w:numPr>
        <w:pStyle w:val="Compact"/>
      </w:pPr>
      <w:r>
        <w:rPr>
          <w:bCs/>
          <w:b/>
        </w:rPr>
        <w:t xml:space="preserve">Enhance Complex Case Planning:</w:t>
      </w:r>
      <w:r>
        <w:t xml:space="preserve"> </w:t>
      </w:r>
      <w:r>
        <w:t xml:space="preserve">It is recommended that the</w:t>
      </w:r>
      <w:r>
        <w:t xml:space="preserve"> </w:t>
      </w:r>
      <w:r>
        <w:rPr>
          <w:bCs/>
          <w:b/>
        </w:rPr>
        <w:t xml:space="preserve">Judge</w:t>
      </w:r>
      <w:r>
        <w:t xml:space="preserve"> </w:t>
      </w:r>
      <w:r>
        <w:t xml:space="preserve">implement more rigorous scheduling orders for multi-party commercial disputes to further reduce duration.</w:t>
      </w:r>
    </w:p>
    <w:p>
      <w:pPr>
        <w:numPr>
          <w:ilvl w:val="0"/>
          <w:numId w:val="1001"/>
        </w:numPr>
        <w:pStyle w:val="Compact"/>
      </w:pPr>
      <w:r>
        <w:rPr>
          <w:bCs/>
          <w:b/>
        </w:rPr>
        <w:t xml:space="preserve">Mentorship Role:</w:t>
      </w:r>
      <w:r>
        <w:t xml:space="preserve"> </w:t>
      </w:r>
      <w:r>
        <w:t xml:space="preserve">Given their high performance, the</w:t>
      </w:r>
      <w:r>
        <w:t xml:space="preserve"> </w:t>
      </w:r>
      <w:r>
        <w:rPr>
          <w:bCs/>
          <w:b/>
        </w:rPr>
        <w:t xml:space="preserve">Judge</w:t>
      </w:r>
      <w:r>
        <w:t xml:space="preserve"> </w:t>
      </w:r>
      <w:r>
        <w:t xml:space="preserve">should be considered for a mentorship role for junior magistrates within the Milan district.</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performs their duties with distinction. Their contribution to the administration of justice in</w:t>
      </w:r>
      <w:r>
        <w:t xml:space="preserve"> </w:t>
      </w:r>
      <w:r>
        <w:rPr>
          <w:bCs/>
          <w:b/>
        </w:rPr>
        <w:t xml:space="preserve">Italy Milan</w:t>
      </w:r>
      <w:r>
        <w:t xml:space="preserve"> </w:t>
      </w:r>
      <w:r>
        <w:t xml:space="preserve">is significant, characterized by legal excellence, unwavering integrity, and a commitment to efficiency. The</w:t>
      </w:r>
      <w:r>
        <w:t xml:space="preserve"> </w:t>
      </w:r>
      <w:r>
        <w:rPr>
          <w:bCs/>
          <w:b/>
        </w:rPr>
        <w:t xml:space="preserve">Judge</w:t>
      </w:r>
      <w:r>
        <w:t xml:space="preserve"> </w:t>
      </w:r>
      <w:r>
        <w:t xml:space="preserve">upholds the reputation of the Italian judiciary on the international stage, particularly in the realm of commercial law. No disciplinary action is warranted; rather, the</w:t>
      </w:r>
      <w:r>
        <w:t xml:space="preserve"> </w:t>
      </w:r>
      <w:r>
        <w:rPr>
          <w:bCs/>
          <w:b/>
        </w:rPr>
        <w:t xml:space="preserve">Judge</w:t>
      </w:r>
      <w:r>
        <w:t xml:space="preserve">'s performance is commended.</w:t>
      </w:r>
    </w:p>
    <w:bookmarkEnd w:id="30"/>
    <w:p>
      <w:pPr>
        <w:pStyle w:val="BodyText"/>
      </w:pPr>
      <w:r>
        <w:rPr>
          <w:bCs/>
          <w:b/>
        </w:rPr>
        <w:t xml:space="preserve">Lead Reviewer</w:t>
      </w:r>
      <w:r>
        <w:br/>
      </w:r>
      <w:r>
        <w:t xml:space="preserve">Senior Magistrate, CSM</w:t>
      </w:r>
      <w:r>
        <w:br/>
      </w:r>
      <w:r>
        <w:t xml:space="preserve">Date: October 24, 2023</w:t>
      </w:r>
    </w:p>
    <w:p>
      <w:pPr>
        <w:pStyle w:val="BodyText"/>
      </w:pPr>
      <w:r>
        <w:rPr>
          <w:bCs/>
          <w:b/>
        </w:rPr>
        <w:t xml:space="preserve">Co-Reviewer</w:t>
      </w:r>
      <w:r>
        <w:br/>
      </w:r>
      <w:r>
        <w:t xml:space="preserve">Judicial Ethics Committee</w:t>
      </w:r>
      <w:r>
        <w:br/>
      </w:r>
      <w:r>
        <w:t xml:space="preserve">Date: October 24, 2023</w:t>
      </w:r>
    </w:p>
    <w:p>
      <w:pPr>
        <w:pStyle w:val="BodyText"/>
      </w:pPr>
      <w:r>
        <w:t xml:space="preserve">© 2023 Judicial Peer Review Committee. This document is confidential and intended solely for the use of the High Council of the Judiciary and the subject Judge.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2026-10-10T07:03:29Z</dcterms:created>
  <dcterms:modified xsi:type="dcterms:W3CDTF">2026-10-10T07:03:29Z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