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31" w:name="peer-review-report"/>
    <w:p>
      <w:pPr>
        <w:pStyle w:val="Heading1"/>
      </w:pPr>
      <w:r>
        <w:t xml:space="preserve">Peer Review Report</w:t>
      </w:r>
    </w:p>
    <w:p>
      <w:pPr>
        <w:pStyle w:val="FirstParagraph"/>
      </w:pPr>
      <w:r>
        <w:t xml:space="preserve">Judicial Performance Evaluation &amp; Professional Conduct Assessment</w:t>
      </w:r>
    </w:p>
    <w:p>
      <w:pPr>
        <w:pStyle w:val="BodyText"/>
      </w:pPr>
      <w:r>
        <w:rPr>
          <w:bCs/>
          <w:b/>
        </w:rPr>
        <w:t xml:space="preserve">Subject of Review:</w:t>
      </w:r>
      <w:r>
        <w:t xml:space="preserve"> </w:t>
      </w:r>
      <w:r>
        <w:t xml:space="preserve">Senior Judge [Name Redacted]</w:t>
      </w:r>
    </w:p>
    <w:p>
      <w:pPr>
        <w:pStyle w:val="BodyText"/>
      </w:pPr>
      <w:r>
        <w:rPr>
          <w:bCs/>
          <w:b/>
        </w:rPr>
        <w:t xml:space="preserve">Jurisdiction:</w:t>
      </w:r>
      <w:r>
        <w:t xml:space="preserve"> </w:t>
      </w:r>
      <w:r>
        <w:t xml:space="preserve">Almaty City Courts, Kazakhstan</w:t>
      </w:r>
    </w:p>
    <w:p>
      <w:pPr>
        <w:pStyle w:val="BodyText"/>
      </w:pPr>
      <w:r>
        <w:rPr>
          <w:bCs/>
          <w:b/>
        </w:rPr>
        <w:t xml:space="preserve">Date of Report:</w:t>
      </w:r>
      <w:r>
        <w:t xml:space="preserve"> </w:t>
      </w:r>
      <w:r>
        <w:t xml:space="preserve">October 24,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competence, ethical conduct, and judicial efficiency of the subject</w:t>
      </w:r>
      <w:r>
        <w:t xml:space="preserve"> </w:t>
      </w:r>
      <w:r>
        <w:rPr>
          <w:bCs/>
          <w:b/>
        </w:rPr>
        <w:t xml:space="preserve">Judge</w:t>
      </w:r>
      <w:r>
        <w:t xml:space="preserve"> </w:t>
      </w:r>
      <w:r>
        <w:t xml:space="preserve">presiding within the judicial system of</w:t>
      </w:r>
      <w:r>
        <w:t xml:space="preserve"> </w:t>
      </w:r>
      <w:r>
        <w:rPr>
          <w:bCs/>
          <w:b/>
        </w:rPr>
        <w:t xml:space="preserve">Kazakhstan Almaty</w:t>
      </w:r>
      <w:r>
        <w:t xml:space="preserve">. The review process involved a comprehensive analysis of case files, courtroom observations, and confidential feedback from legal practitioners and court staff. The primary objective is to ensure that the administration of justice in this major economic hub of Kazakhstan aligns with the highest standards of the Constitution and the Law on the Judiciary.</w:t>
      </w:r>
    </w:p>
    <w:p>
      <w:pPr>
        <w:pStyle w:val="BodyText"/>
      </w:pPr>
      <w:r>
        <w:t xml:space="preserve">The findings indicate that the</w:t>
      </w:r>
      <w:r>
        <w:t xml:space="preserve"> </w:t>
      </w:r>
      <w:r>
        <w:rPr>
          <w:bCs/>
          <w:b/>
        </w:rPr>
        <w:t xml:space="preserve">Judge</w:t>
      </w:r>
      <w:r>
        <w:t xml:space="preserve"> </w:t>
      </w:r>
      <w:r>
        <w:t xml:space="preserve">demonstrates a robust understanding of Kazakhstani civil and criminal procedure. However, specific areas regarding case management efficiency and interaction with international legal standards require attention to fully meet the evolving expectations of the legal community in</w:t>
      </w:r>
      <w:r>
        <w:t xml:space="preserve"> </w:t>
      </w:r>
      <w:r>
        <w:rPr>
          <w:bCs/>
          <w:b/>
        </w:rPr>
        <w:t xml:space="preserve">Kazakhstan Almaty</w:t>
      </w:r>
      <w:r>
        <w:t xml:space="preserve">.</w:t>
      </w:r>
    </w:p>
    <w:bookmarkEnd w:id="20"/>
    <w:bookmarkStart w:id="21" w:name="context-and-methodology"/>
    <w:p>
      <w:pPr>
        <w:pStyle w:val="Heading2"/>
      </w:pPr>
      <w:r>
        <w:t xml:space="preserve">2. Context and Methodology</w:t>
      </w:r>
    </w:p>
    <w:p>
      <w:pPr>
        <w:pStyle w:val="FirstParagraph"/>
      </w:pPr>
      <w:r>
        <w:t xml:space="preserve">The legal landscape in</w:t>
      </w:r>
      <w:r>
        <w:t xml:space="preserve"> </w:t>
      </w:r>
      <w:r>
        <w:rPr>
          <w:bCs/>
          <w:b/>
        </w:rPr>
        <w:t xml:space="preserve">Kazakhstan Almaty</w:t>
      </w:r>
      <w:r>
        <w:t xml:space="preserve"> </w:t>
      </w:r>
      <w:r>
        <w:t xml:space="preserve">is characterized by a high volume of commercial disputes, complex criminal cases, and increasing integration with international arbitration norms. Consequently, the role of a</w:t>
      </w:r>
      <w:r>
        <w:t xml:space="preserve"> </w:t>
      </w:r>
      <w:r>
        <w:rPr>
          <w:bCs/>
          <w:b/>
        </w:rPr>
        <w:t xml:space="preserve">Judge</w:t>
      </w:r>
      <w:r>
        <w:t xml:space="preserve"> </w:t>
      </w:r>
      <w:r>
        <w:t xml:space="preserve">in this region demands not only technical legal knowledge but also adaptability and impartiality.</w:t>
      </w:r>
    </w:p>
    <w:p>
      <w:pPr>
        <w:pStyle w:val="BodyText"/>
      </w:pPr>
      <w:r>
        <w:t xml:space="preserve">This</w:t>
      </w:r>
      <w:r>
        <w:t xml:space="preserve"> </w:t>
      </w:r>
      <w:r>
        <w:rPr>
          <w:bCs/>
          <w:b/>
        </w:rPr>
        <w:t xml:space="preserve">Peer Review Report</w:t>
      </w:r>
      <w:r>
        <w:t xml:space="preserve"> </w:t>
      </w:r>
      <w:r>
        <w:t xml:space="preserve">was conducted over a period of six months. The methodology included:</w:t>
      </w:r>
    </w:p>
    <w:p>
      <w:pPr>
        <w:numPr>
          <w:ilvl w:val="0"/>
          <w:numId w:val="1001"/>
        </w:numPr>
        <w:pStyle w:val="Compact"/>
      </w:pPr>
      <w:r>
        <w:t xml:space="preserve">Review of 50 randomly selected case files from the past two years.</w:t>
      </w:r>
    </w:p>
    <w:p>
      <w:pPr>
        <w:numPr>
          <w:ilvl w:val="0"/>
          <w:numId w:val="1001"/>
        </w:numPr>
        <w:pStyle w:val="Compact"/>
      </w:pPr>
      <w:r>
        <w:t xml:space="preserve">Direct observation of 15 court sessions in Almaty City Courts.</w:t>
      </w:r>
    </w:p>
    <w:p>
      <w:pPr>
        <w:numPr>
          <w:ilvl w:val="0"/>
          <w:numId w:val="1001"/>
        </w:numPr>
        <w:pStyle w:val="Compact"/>
      </w:pPr>
      <w:r>
        <w:t xml:space="preserve">Structured interviews with 20 practicing attorneys and 5 court clerks.</w:t>
      </w:r>
    </w:p>
    <w:p>
      <w:pPr>
        <w:numPr>
          <w:ilvl w:val="0"/>
          <w:numId w:val="1001"/>
        </w:numPr>
        <w:pStyle w:val="Compact"/>
      </w:pPr>
      <w:r>
        <w:t xml:space="preserve">Assessment of written judgments for clarity, reasoning, and adherence to statutory law.</w:t>
      </w:r>
    </w:p>
    <w:bookmarkEnd w:id="21"/>
    <w:bookmarkStart w:id="24" w:name="assessment-of-judicial-competence"/>
    <w:p>
      <w:pPr>
        <w:pStyle w:val="Heading2"/>
      </w:pPr>
      <w:r>
        <w:t xml:space="preserve">3. Assessment of Judicial Competence</w:t>
      </w:r>
    </w:p>
    <w:bookmarkStart w:id="22" w:name="legal-knowledge-and-application"/>
    <w:p>
      <w:pPr>
        <w:pStyle w:val="Heading3"/>
      </w:pPr>
      <w:r>
        <w:t xml:space="preserve">3.1 Legal Knowledge and Application</w:t>
      </w:r>
    </w:p>
    <w:p>
      <w:pPr>
        <w:pStyle w:val="FirstParagraph"/>
      </w:pPr>
      <w:r>
        <w:t xml:space="preserve">The</w:t>
      </w:r>
      <w:r>
        <w:t xml:space="preserve"> </w:t>
      </w:r>
      <w:r>
        <w:rPr>
          <w:bCs/>
          <w:b/>
        </w:rPr>
        <w:t xml:space="preserve">Judge</w:t>
      </w:r>
      <w:r>
        <w:t xml:space="preserve"> </w:t>
      </w:r>
      <w:r>
        <w:t xml:space="preserve">exhibits a strong command of the Civil Code and Criminal Code of the Republic of Kazakhstan. In the reviewed cases, the application of law was generally accurate. The</w:t>
      </w:r>
      <w:r>
        <w:t xml:space="preserve"> </w:t>
      </w:r>
      <w:r>
        <w:rPr>
          <w:bCs/>
          <w:b/>
        </w:rPr>
        <w:t xml:space="preserve">Judge</w:t>
      </w:r>
      <w:r>
        <w:t xml:space="preserve"> </w:t>
      </w:r>
      <w:r>
        <w:t xml:space="preserve">successfully navigated complex jurisdictional issues common in</w:t>
      </w:r>
      <w:r>
        <w:t xml:space="preserve"> </w:t>
      </w:r>
      <w:r>
        <w:rPr>
          <w:bCs/>
          <w:b/>
        </w:rPr>
        <w:t xml:space="preserve">Kazakhstan Almaty</w:t>
      </w:r>
      <w:r>
        <w:t xml:space="preserve">, particularly in cases involving cross-border commercial entities.</w:t>
      </w:r>
    </w:p>
    <w:p>
      <w:pPr>
        <w:pStyle w:val="BodyText"/>
      </w:pPr>
      <w:r>
        <w:t xml:space="preserve">However, the</w:t>
      </w:r>
      <w:r>
        <w:t xml:space="preserve"> </w:t>
      </w:r>
      <w:r>
        <w:rPr>
          <w:bCs/>
          <w:b/>
        </w:rPr>
        <w:t xml:space="preserve">Peer Review Report</w:t>
      </w:r>
      <w:r>
        <w:t xml:space="preserve"> </w:t>
      </w:r>
      <w:r>
        <w:t xml:space="preserve">notes occasional inconsistencies in the interpretation of recent amendments to the procedural codes. To maintain the integrity of the judiciary in</w:t>
      </w:r>
      <w:r>
        <w:t xml:space="preserve"> </w:t>
      </w:r>
      <w:r>
        <w:rPr>
          <w:bCs/>
          <w:b/>
        </w:rPr>
        <w:t xml:space="preserve">Kazakhstan Almaty</w:t>
      </w:r>
      <w:r>
        <w:t xml:space="preserve">, it is recommended that the</w:t>
      </w:r>
      <w:r>
        <w:t xml:space="preserve"> </w:t>
      </w:r>
      <w:r>
        <w:rPr>
          <w:bCs/>
          <w:b/>
        </w:rPr>
        <w:t xml:space="preserve">Judge</w:t>
      </w:r>
      <w:r>
        <w:t xml:space="preserve"> </w:t>
      </w:r>
      <w:r>
        <w:t xml:space="preserve">engage in continuous professional development regarding legislative updates.</w:t>
      </w:r>
    </w:p>
    <w:bookmarkEnd w:id="22"/>
    <w:bookmarkStart w:id="23" w:name="quality-of-written-judgments"/>
    <w:p>
      <w:pPr>
        <w:pStyle w:val="Heading3"/>
      </w:pPr>
      <w:r>
        <w:t xml:space="preserve">3.2 Quality of Written Judgments</w:t>
      </w:r>
    </w:p>
    <w:p>
      <w:pPr>
        <w:pStyle w:val="FirstParagraph"/>
      </w:pPr>
      <w:r>
        <w:t xml:space="preserve">Written judgments are the cornerstone of judicial transparency. The</w:t>
      </w:r>
      <w:r>
        <w:t xml:space="preserve"> </w:t>
      </w:r>
      <w:r>
        <w:rPr>
          <w:bCs/>
          <w:b/>
        </w:rPr>
        <w:t xml:space="preserve">Judge</w:t>
      </w:r>
      <w:r>
        <w:t xml:space="preserve"> </w:t>
      </w:r>
      <w:r>
        <w:t xml:space="preserve">produces detailed rulings that generally address the core arguments presented by parties. The reasoning provided is logical and grounded in evidence. Nevertheless, some judgments lacked sufficient elaboration on the rejection of specific evidentiary submissions, which can lead to unnecessary appeals. In a sophisticated legal market like</w:t>
      </w:r>
      <w:r>
        <w:t xml:space="preserve"> </w:t>
      </w:r>
      <w:r>
        <w:rPr>
          <w:bCs/>
          <w:b/>
        </w:rPr>
        <w:t xml:space="preserve">Kazakhstan Almaty</w:t>
      </w:r>
      <w:r>
        <w:t xml:space="preserve">, clarity in reasoning is paramount to reducing the caseload of appellate courts.</w:t>
      </w:r>
    </w:p>
    <w:bookmarkEnd w:id="23"/>
    <w:bookmarkEnd w:id="24"/>
    <w:bookmarkStart w:id="27" w:name="courtroom-conduct-and-impartiality"/>
    <w:p>
      <w:pPr>
        <w:pStyle w:val="Heading2"/>
      </w:pPr>
      <w:r>
        <w:t xml:space="preserve">4. Courtroom Conduct and Impartiality</w:t>
      </w:r>
    </w:p>
    <w:bookmarkStart w:id="25" w:name="demeanor-and-professionalism"/>
    <w:p>
      <w:pPr>
        <w:pStyle w:val="Heading3"/>
      </w:pPr>
      <w:r>
        <w:t xml:space="preserve">4.1 Demeanor and Professionalism</w:t>
      </w:r>
    </w:p>
    <w:p>
      <w:pPr>
        <w:pStyle w:val="FirstParagraph"/>
      </w:pPr>
      <w:r>
        <w:t xml:space="preserve">Observations of the courtroom reveal that the</w:t>
      </w:r>
      <w:r>
        <w:t xml:space="preserve"> </w:t>
      </w:r>
      <w:r>
        <w:rPr>
          <w:bCs/>
          <w:b/>
        </w:rPr>
        <w:t xml:space="preserve">Judge</w:t>
      </w:r>
      <w:r>
        <w:t xml:space="preserve"> </w:t>
      </w:r>
      <w:r>
        <w:t xml:space="preserve">maintains a dignified and authoritative presence. The</w:t>
      </w:r>
      <w:r>
        <w:t xml:space="preserve"> </w:t>
      </w:r>
      <w:r>
        <w:rPr>
          <w:bCs/>
          <w:b/>
        </w:rPr>
        <w:t xml:space="preserve">Judge</w:t>
      </w:r>
      <w:r>
        <w:t xml:space="preserve"> </w:t>
      </w:r>
      <w:r>
        <w:t xml:space="preserve">ensures that proceedings are conducted in an orderly manner, respecting the rights of all participants. Feedback from attorneys suggests that the</w:t>
      </w:r>
      <w:r>
        <w:t xml:space="preserve"> </w:t>
      </w:r>
      <w:r>
        <w:rPr>
          <w:bCs/>
          <w:b/>
        </w:rPr>
        <w:t xml:space="preserve">Judge</w:t>
      </w:r>
      <w:r>
        <w:t xml:space="preserve"> </w:t>
      </w:r>
      <w:r>
        <w:t xml:space="preserve">is generally respectful, though there were isolated instances where the tone was perceived as overly abrupt during high-pressure hearings.</w:t>
      </w:r>
    </w:p>
    <w:bookmarkEnd w:id="25"/>
    <w:bookmarkStart w:id="26" w:name="impartiality-and-bias"/>
    <w:p>
      <w:pPr>
        <w:pStyle w:val="Heading3"/>
      </w:pPr>
      <w:r>
        <w:t xml:space="preserve">4.2 Impartiality and Bias</w:t>
      </w:r>
    </w:p>
    <w:p>
      <w:pPr>
        <w:pStyle w:val="FirstParagraph"/>
      </w:pPr>
      <w:r>
        <w:t xml:space="preserve">A critical component of this</w:t>
      </w:r>
      <w:r>
        <w:t xml:space="preserve"> </w:t>
      </w:r>
      <w:r>
        <w:rPr>
          <w:bCs/>
          <w:b/>
        </w:rPr>
        <w:t xml:space="preserve">Peer Review Report</w:t>
      </w:r>
      <w:r>
        <w:t xml:space="preserve"> </w:t>
      </w:r>
      <w:r>
        <w:t xml:space="preserve">is the assessment of impartiality. There is no evidence to suggest that the</w:t>
      </w:r>
      <w:r>
        <w:t xml:space="preserve"> </w:t>
      </w:r>
      <w:r>
        <w:rPr>
          <w:bCs/>
          <w:b/>
        </w:rPr>
        <w:t xml:space="preserve">Judge</w:t>
      </w:r>
      <w:r>
        <w:t xml:space="preserve"> </w:t>
      </w:r>
      <w:r>
        <w:t xml:space="preserve">has acted with bias based on ethnicity, gender, or social status. The</w:t>
      </w:r>
      <w:r>
        <w:t xml:space="preserve"> </w:t>
      </w:r>
      <w:r>
        <w:rPr>
          <w:bCs/>
          <w:b/>
        </w:rPr>
        <w:t xml:space="preserve">Judge</w:t>
      </w:r>
      <w:r>
        <w:t xml:space="preserve"> </w:t>
      </w:r>
      <w:r>
        <w:t xml:space="preserve">adheres to the ethical standards set forth by the High Council of Justice of Kazakhstan. However, the perception of fairness is as important as actual fairness. The</w:t>
      </w:r>
      <w:r>
        <w:t xml:space="preserve"> </w:t>
      </w:r>
      <w:r>
        <w:rPr>
          <w:bCs/>
          <w:b/>
        </w:rPr>
        <w:t xml:space="preserve">Judge</w:t>
      </w:r>
      <w:r>
        <w:t xml:space="preserve"> </w:t>
      </w:r>
      <w:r>
        <w:t xml:space="preserve">should be mindful of non-verbal cues that may be misinterpreted by litigants in the diverse cultural environment of</w:t>
      </w:r>
      <w:r>
        <w:t xml:space="preserve"> </w:t>
      </w:r>
      <w:r>
        <w:rPr>
          <w:bCs/>
          <w:b/>
        </w:rPr>
        <w:t xml:space="preserve">Kazakhstan Almaty</w:t>
      </w:r>
      <w:r>
        <w:t xml:space="preserve">.</w:t>
      </w:r>
    </w:p>
    <w:bookmarkEnd w:id="26"/>
    <w:bookmarkEnd w:id="27"/>
    <w:bookmarkStart w:id="28" w:name="case-management-and-efficiency"/>
    <w:p>
      <w:pPr>
        <w:pStyle w:val="Heading2"/>
      </w:pPr>
      <w:r>
        <w:t xml:space="preserve">5. Case Management and Efficiency</w:t>
      </w:r>
    </w:p>
    <w:p>
      <w:pPr>
        <w:pStyle w:val="FirstParagraph"/>
      </w:pPr>
      <w:r>
        <w:t xml:space="preserve">The volume of cases in</w:t>
      </w:r>
      <w:r>
        <w:t xml:space="preserve"> </w:t>
      </w:r>
      <w:r>
        <w:rPr>
          <w:bCs/>
          <w:b/>
        </w:rPr>
        <w:t xml:space="preserve">Kazakhstan Almaty</w:t>
      </w:r>
      <w:r>
        <w:t xml:space="preserve"> </w:t>
      </w:r>
      <w:r>
        <w:t xml:space="preserve">places significant pressure on judicial resources. This</w:t>
      </w:r>
      <w:r>
        <w:t xml:space="preserve"> </w:t>
      </w:r>
      <w:r>
        <w:rPr>
          <w:bCs/>
          <w:b/>
        </w:rPr>
        <w:t xml:space="preserve">Peer Review Report</w:t>
      </w:r>
      <w:r>
        <w:t xml:space="preserve"> </w:t>
      </w:r>
      <w:r>
        <w:t xml:space="preserve">identifies case management as an area requiring improvement. While the</w:t>
      </w:r>
      <w:r>
        <w:t xml:space="preserve"> </w:t>
      </w:r>
      <w:r>
        <w:rPr>
          <w:bCs/>
          <w:b/>
        </w:rPr>
        <w:t xml:space="preserve">Judge</w:t>
      </w:r>
      <w:r>
        <w:t xml:space="preserve"> </w:t>
      </w:r>
      <w:r>
        <w:t xml:space="preserve">is diligent, there were delays in scheduling hearings and issuing final judgments in several complex cases.</w:t>
      </w:r>
    </w:p>
    <w:p>
      <w:pPr>
        <w:pStyle w:val="BodyText"/>
      </w:pPr>
      <w:r>
        <w:t xml:space="preserve">Recommendation: The</w:t>
      </w:r>
      <w:r>
        <w:t xml:space="preserve"> </w:t>
      </w:r>
      <w:r>
        <w:rPr>
          <w:bCs/>
          <w:b/>
        </w:rPr>
        <w:t xml:space="preserve">Judge</w:t>
      </w:r>
      <w:r>
        <w:t xml:space="preserve"> </w:t>
      </w:r>
      <w:r>
        <w:t xml:space="preserve">should implement stricter timelines for pre-trial motions and utilize digital case management tools more effectively to reduce backlog. Efficiency is a key metric for the modern judiciary in</w:t>
      </w:r>
      <w:r>
        <w:t xml:space="preserve"> </w:t>
      </w:r>
      <w:r>
        <w:rPr>
          <w:bCs/>
          <w:b/>
        </w:rPr>
        <w:t xml:space="preserve">Kazakhstan Almaty</w:t>
      </w:r>
      <w:r>
        <w:t xml:space="preserve">.</w:t>
      </w:r>
    </w:p>
    <w:bookmarkEnd w:id="28"/>
    <w:bookmarkStart w:id="29" w:name="ethical-compliance"/>
    <w:p>
      <w:pPr>
        <w:pStyle w:val="Heading2"/>
      </w:pPr>
      <w:r>
        <w:t xml:space="preserve">6. Ethical Compliance</w:t>
      </w:r>
    </w:p>
    <w:p>
      <w:pPr>
        <w:pStyle w:val="FirstParagraph"/>
      </w:pPr>
      <w:r>
        <w:t xml:space="preserve">The</w:t>
      </w:r>
      <w:r>
        <w:t xml:space="preserve"> </w:t>
      </w:r>
      <w:r>
        <w:rPr>
          <w:bCs/>
          <w:b/>
        </w:rPr>
        <w:t xml:space="preserve">Judge</w:t>
      </w:r>
      <w:r>
        <w:t xml:space="preserve"> </w:t>
      </w:r>
      <w:r>
        <w:t xml:space="preserve">has maintained a clean ethical record throughout the review period. There were no reports of conflicts of interest, ex parte communications, or violations of the Code of Judicial Ethics. The</w:t>
      </w:r>
      <w:r>
        <w:t xml:space="preserve"> </w:t>
      </w:r>
      <w:r>
        <w:rPr>
          <w:bCs/>
          <w:b/>
        </w:rPr>
        <w:t xml:space="preserve">Judge</w:t>
      </w:r>
      <w:r>
        <w:t xml:space="preserve"> </w:t>
      </w:r>
      <w:r>
        <w:t xml:space="preserve">demonstrates a commitment to the rule of law and the independence of the judiciary, which is essential for the stability and reputation of the legal system in</w:t>
      </w:r>
      <w:r>
        <w:t xml:space="preserve"> </w:t>
      </w:r>
      <w:r>
        <w:rPr>
          <w:bCs/>
          <w:b/>
        </w:rPr>
        <w:t xml:space="preserve">Kazakhstan Almaty</w:t>
      </w:r>
      <w:r>
        <w:t xml:space="preserve">.</w:t>
      </w:r>
    </w:p>
    <w:bookmarkEnd w:id="29"/>
    <w:bookmarkStart w:id="30"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Judge</w:t>
      </w:r>
      <w:r>
        <w:t xml:space="preserve"> </w:t>
      </w:r>
      <w:r>
        <w:t xml:space="preserve">is a competent and ethical legal professional serving the people of</w:t>
      </w:r>
      <w:r>
        <w:t xml:space="preserve"> </w:t>
      </w:r>
      <w:r>
        <w:rPr>
          <w:bCs/>
          <w:b/>
        </w:rPr>
        <w:t xml:space="preserve">Kazakhstan Almaty</w:t>
      </w:r>
      <w:r>
        <w:t xml:space="preserve">. The</w:t>
      </w:r>
      <w:r>
        <w:t xml:space="preserve"> </w:t>
      </w:r>
      <w:r>
        <w:rPr>
          <w:bCs/>
          <w:b/>
        </w:rPr>
        <w:t xml:space="preserve">Judge</w:t>
      </w:r>
      <w:r>
        <w:t xml:space="preserve"> </w:t>
      </w:r>
      <w:r>
        <w:t xml:space="preserve">possesses the necessary legal acumen and dedication to uphold justice. However, to excel in the dynamic legal environment of the region, the following actions are recommended:</w:t>
      </w:r>
    </w:p>
    <w:p>
      <w:pPr>
        <w:numPr>
          <w:ilvl w:val="0"/>
          <w:numId w:val="1002"/>
        </w:numPr>
        <w:pStyle w:val="Compact"/>
      </w:pPr>
      <w:r>
        <w:t xml:space="preserve">Enhance the clarity and comprehensiveness of written judgments to minimize appellate challenges.</w:t>
      </w:r>
    </w:p>
    <w:p>
      <w:pPr>
        <w:numPr>
          <w:ilvl w:val="0"/>
          <w:numId w:val="1002"/>
        </w:numPr>
        <w:pStyle w:val="Compact"/>
      </w:pPr>
      <w:r>
        <w:t xml:space="preserve">Improve case management strategies to ensure timely resolution of disputes.</w:t>
      </w:r>
    </w:p>
    <w:p>
      <w:pPr>
        <w:numPr>
          <w:ilvl w:val="0"/>
          <w:numId w:val="1002"/>
        </w:numPr>
        <w:pStyle w:val="Compact"/>
      </w:pPr>
      <w:r>
        <w:t xml:space="preserve">Participate in advanced training on international judicial standards and procedural efficiency.</w:t>
      </w:r>
    </w:p>
    <w:p>
      <w:pPr>
        <w:numPr>
          <w:ilvl w:val="0"/>
          <w:numId w:val="1002"/>
        </w:numPr>
        <w:pStyle w:val="Compact"/>
      </w:pPr>
      <w:r>
        <w:t xml:space="preserve">Maintain open channels of communication with court staff to foster a collaborative and efficient courtroom environment.</w:t>
      </w:r>
    </w:p>
    <w:p>
      <w:pPr>
        <w:pStyle w:val="FirstParagraph"/>
      </w:pPr>
      <w:r>
        <w:t xml:space="preserve">By addressing these areas, the</w:t>
      </w:r>
      <w:r>
        <w:t xml:space="preserve"> </w:t>
      </w:r>
      <w:r>
        <w:rPr>
          <w:bCs/>
          <w:b/>
        </w:rPr>
        <w:t xml:space="preserve">Judge</w:t>
      </w:r>
      <w:r>
        <w:t xml:space="preserve"> </w:t>
      </w:r>
      <w:r>
        <w:t xml:space="preserve">will further contribute to the integrity and effectiveness of the judicial system in</w:t>
      </w:r>
      <w:r>
        <w:t xml:space="preserve"> </w:t>
      </w:r>
      <w:r>
        <w:rPr>
          <w:bCs/>
          <w:b/>
        </w:rPr>
        <w:t xml:space="preserve">Kazakhstan Almaty</w:t>
      </w:r>
      <w:r>
        <w:t xml:space="preserve">, reinforcing public trust in the administration of justice.</w:t>
      </w:r>
    </w:p>
    <w:p>
      <w:pPr>
        <w:pStyle w:val="BodyText"/>
      </w:pPr>
      <w:r>
        <w:rPr>
          <w:bCs/>
          <w:b/>
        </w:rPr>
        <w:t xml:space="preserve">Lead Reviewer:</w:t>
      </w:r>
      <w:r>
        <w:br/>
      </w:r>
      <w:r>
        <w:t xml:space="preserve">[Name Redacted]</w:t>
      </w:r>
      <w:r>
        <w:br/>
      </w:r>
      <w:r>
        <w:t xml:space="preserve">Senior Judicial Advisor</w:t>
      </w:r>
    </w:p>
    <w:p>
      <w:pPr>
        <w:pStyle w:val="BodyText"/>
      </w:pPr>
      <w:r>
        <w:rPr>
          <w:bCs/>
          <w:b/>
        </w:rPr>
        <w:t xml:space="preserve">Review Committee Chair:</w:t>
      </w:r>
      <w:r>
        <w:br/>
      </w:r>
      <w:r>
        <w:t xml:space="preserve">[Name Redacted]</w:t>
      </w:r>
      <w:r>
        <w:br/>
      </w:r>
      <w:r>
        <w:t xml:space="preserve">High Council of Justice Representative</w:t>
      </w:r>
    </w:p>
    <w:p>
      <w:pPr>
        <w:pStyle w:val="BodyText"/>
      </w:pPr>
      <w:r>
        <w:t xml:space="preserve">Confidential Document — For Internal Use Only — Judicial System of Kazakhstan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2026-10-10T02:03:19Z</dcterms:created>
  <dcterms:modified xsi:type="dcterms:W3CDTF">2026-10-10T02:03:19Z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