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33" w:name="Xb3a39476a87361a95de5ef3e13942a79e8e2770"/>
    <w:p>
      <w:pPr>
        <w:pStyle w:val="Heading1"/>
      </w:pPr>
      <w:r>
        <w:t xml:space="preserve">Peer Review Report: Judicial Performance Evaluation</w:t>
      </w:r>
    </w:p>
    <w:p>
      <w:pPr>
        <w:pStyle w:val="FirstParagraph"/>
      </w:pPr>
      <w:r>
        <w:t xml:space="preserve">Subject of Review</w:t>
      </w:r>
    </w:p>
    <w:p>
      <w:pPr>
        <w:pStyle w:val="BodyText"/>
      </w:pPr>
      <w:r>
        <w:t xml:space="preserve">Honorable Judge [Name Redacted]</w:t>
      </w:r>
    </w:p>
    <w:p>
      <w:pPr>
        <w:pStyle w:val="BodyText"/>
      </w:pPr>
      <w:r>
        <w:t xml:space="preserve">Jurisdiction</w:t>
      </w:r>
    </w:p>
    <w:p>
      <w:pPr>
        <w:pStyle w:val="BodyText"/>
      </w:pPr>
      <w:r>
        <w:t xml:space="preserve">Kuwait Kuwait City</w:t>
      </w:r>
    </w:p>
    <w:p>
      <w:pPr>
        <w:pStyle w:val="BodyText"/>
      </w:pPr>
      <w:r>
        <w:t xml:space="preserve">Court Level</w:t>
      </w:r>
    </w:p>
    <w:p>
      <w:pPr>
        <w:pStyle w:val="BodyText"/>
      </w:pPr>
      <w:r>
        <w:t xml:space="preserve">First Instance / Summary Court</w:t>
      </w:r>
    </w:p>
    <w:p>
      <w:pPr>
        <w:pStyle w:val="BodyText"/>
      </w:pPr>
      <w:r>
        <w:t xml:space="preserve">Review Date</w:t>
      </w:r>
    </w:p>
    <w:p>
      <w:pPr>
        <w:pStyle w:val="BodyText"/>
      </w:pPr>
      <w:r>
        <w:t xml:space="preserve">October 24, 2023</w:t>
      </w:r>
    </w:p>
    <w:p>
      <w:pPr>
        <w:pStyle w:val="BodyText"/>
      </w:pPr>
      <w:r>
        <w:t xml:space="preserve">Review Period</w:t>
      </w:r>
    </w:p>
    <w:p>
      <w:pPr>
        <w:pStyle w:val="BodyText"/>
      </w:pPr>
      <w:r>
        <w:t xml:space="preserve">January 2023 – September 2023</w:t>
      </w:r>
    </w:p>
    <w:p>
      <w:pPr>
        <w:pStyle w:val="BodyText"/>
      </w:pPr>
      <w:r>
        <w:t xml:space="preserve">Reviewing Body</w:t>
      </w:r>
    </w:p>
    <w:p>
      <w:pPr>
        <w:pStyle w:val="BodyText"/>
      </w:pPr>
      <w:r>
        <w:t xml:space="preserve">Judicial Council Peer Committee</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conduct, legal acumen, and administrative efficiency of the subject Judge operating within the judicial district of Kuwait Kuwait City. The review was conducted in accordance with the standards set forth by the Judicial Authority of the State of Kuwait. The primary objective of this assessment is to ensure the maintenance of high judicial standards, impartiality, and the effective administration of justice within the capital's busy courtrooms.</w:t>
      </w:r>
    </w:p>
    <w:p>
      <w:pPr>
        <w:pStyle w:val="BodyText"/>
      </w:pPr>
      <w:r>
        <w:t xml:space="preserve">The evaluation covers a nine-month period characterized by a high volume of civil and commercial litigation. The findings indicate that the Judge demonstrates a robust understanding of Kuwaiti civil law and procedural codes. However, specific areas regarding case management efficiency and courtroom demeanor require attention to align fully with the evolving expectations of the judiciary in Kuwait Kuwait City.</w:t>
      </w:r>
    </w:p>
    <w:bookmarkEnd w:id="20"/>
    <w:bookmarkStart w:id="21" w:name="methodology"/>
    <w:p>
      <w:pPr>
        <w:pStyle w:val="Heading2"/>
      </w:pPr>
      <w:r>
        <w:t xml:space="preserve">2. Methodology</w:t>
      </w:r>
    </w:p>
    <w:p>
      <w:pPr>
        <w:pStyle w:val="FirstParagraph"/>
      </w:pPr>
      <w:r>
        <w:t xml:space="preserve">This review utilized a multi-faceted approach to ensure objectivity and thoroughness. The methodology included:</w:t>
      </w:r>
    </w:p>
    <w:p>
      <w:pPr>
        <w:numPr>
          <w:ilvl w:val="0"/>
          <w:numId w:val="1001"/>
        </w:numPr>
        <w:pStyle w:val="Compact"/>
      </w:pPr>
      <w:r>
        <w:rPr>
          <w:bCs/>
          <w:b/>
        </w:rPr>
        <w:t xml:space="preserve">Observation of Proceedings:</w:t>
      </w:r>
      <w:r>
        <w:t xml:space="preserve"> </w:t>
      </w:r>
      <w:r>
        <w:t xml:space="preserve">Direct observation of fifteen (15) randomized court sessions held in Kuwait Kuwait City.</w:t>
      </w:r>
    </w:p>
    <w:p>
      <w:pPr>
        <w:numPr>
          <w:ilvl w:val="0"/>
          <w:numId w:val="1001"/>
        </w:numPr>
        <w:pStyle w:val="Compact"/>
      </w:pPr>
      <w:r>
        <w:rPr>
          <w:bCs/>
          <w:b/>
        </w:rPr>
        <w:t xml:space="preserve">Case File Analysis:</w:t>
      </w:r>
      <w:r>
        <w:t xml:space="preserve"> </w:t>
      </w:r>
      <w:r>
        <w:t xml:space="preserve">A statistical review of fifty (50) closed cases to assess the quality of written judgments and adherence to statutory timelines.</w:t>
      </w:r>
    </w:p>
    <w:p>
      <w:pPr>
        <w:numPr>
          <w:ilvl w:val="0"/>
          <w:numId w:val="1001"/>
        </w:numPr>
        <w:pStyle w:val="Compact"/>
      </w:pPr>
      <w:r>
        <w:rPr>
          <w:bCs/>
          <w:b/>
        </w:rPr>
        <w:t xml:space="preserve">Stakeholder Feedback:</w:t>
      </w:r>
      <w:r>
        <w:t xml:space="preserve"> </w:t>
      </w:r>
      <w:r>
        <w:t xml:space="preserve">Anonymous surveys distributed to practicing attorneys and court clerks regarding the Judge's accessibility and procedural fairness.</w:t>
      </w:r>
    </w:p>
    <w:p>
      <w:pPr>
        <w:numPr>
          <w:ilvl w:val="0"/>
          <w:numId w:val="1001"/>
        </w:numPr>
        <w:pStyle w:val="Compact"/>
      </w:pPr>
      <w:r>
        <w:rPr>
          <w:bCs/>
          <w:b/>
        </w:rPr>
        <w:t xml:space="preserve">Peer Consultation:</w:t>
      </w:r>
      <w:r>
        <w:t xml:space="preserve"> </w:t>
      </w:r>
      <w:r>
        <w:t xml:space="preserve">Structured interviews with three senior judges from the same jurisdiction.</w:t>
      </w:r>
    </w:p>
    <w:bookmarkEnd w:id="21"/>
    <w:bookmarkStart w:id="24" w:name="Xd4c1394674b30abe11685b977df50ca920a554d"/>
    <w:p>
      <w:pPr>
        <w:pStyle w:val="Heading2"/>
      </w:pPr>
      <w:r>
        <w:t xml:space="preserve">3. Evaluation of Legal Competence and Judgment Quality</w:t>
      </w:r>
    </w:p>
    <w:bookmarkStart w:id="22" w:name="application-of-law"/>
    <w:p>
      <w:pPr>
        <w:pStyle w:val="Heading3"/>
      </w:pPr>
      <w:r>
        <w:t xml:space="preserve">3.1 Application of Law</w:t>
      </w:r>
    </w:p>
    <w:p>
      <w:pPr>
        <w:pStyle w:val="FirstParagraph"/>
      </w:pPr>
      <w:r>
        <w:t xml:space="preserve">The Judge exhibits a strong command of the relevant legal frameworks governing Kuwait Kuwait City. The analysis of written judgments reveals a consistent and accurate application of the Civil Code and the Law of Civil Procedure. The reasoning provided in the verdicts is generally logical, well-structured, and clearly references the pertinent articles of the law. This ensures that the parties involved understand the legal basis for the decisions rendered.</w:t>
      </w:r>
    </w:p>
    <w:bookmarkEnd w:id="22"/>
    <w:bookmarkStart w:id="23" w:name="impartiality-and-integrity"/>
    <w:p>
      <w:pPr>
        <w:pStyle w:val="Heading3"/>
      </w:pPr>
      <w:r>
        <w:t xml:space="preserve">3.2 Impartiality and Integrity</w:t>
      </w:r>
    </w:p>
    <w:p>
      <w:pPr>
        <w:pStyle w:val="FirstParagraph"/>
      </w:pPr>
      <w:r>
        <w:t xml:space="preserve">Integrity is the cornerstone of the judiciary. Throughout the review period, there were no indications of bias, favoritism, or ethical breaches. The Judge maintained a neutral stance during hearings, allowing all parties equal opportunity to present their arguments. The conduct observed aligns with the ethical standards expected of a Judge in the State of Kuwait, reinforcing public trust in the judicial system of Kuwait Kuwait City.</w:t>
      </w:r>
    </w:p>
    <w:bookmarkEnd w:id="23"/>
    <w:bookmarkEnd w:id="24"/>
    <w:bookmarkStart w:id="27" w:name="courtroom-management-and-demeanor"/>
    <w:p>
      <w:pPr>
        <w:pStyle w:val="Heading2"/>
      </w:pPr>
      <w:r>
        <w:t xml:space="preserve">4. Courtroom Management and Demeanor</w:t>
      </w:r>
    </w:p>
    <w:bookmarkStart w:id="25" w:name="control-of-proceedings"/>
    <w:p>
      <w:pPr>
        <w:pStyle w:val="Heading3"/>
      </w:pPr>
      <w:r>
        <w:t xml:space="preserve">4.1 Control of Proceedings</w:t>
      </w:r>
    </w:p>
    <w:p>
      <w:pPr>
        <w:pStyle w:val="FirstParagraph"/>
      </w:pPr>
      <w:r>
        <w:t xml:space="preserve">The Judge effectively manages the courtroom environment. Observations indicate that the Judge is capable of maintaining order and ensuring that proceedings remain focused on the relevant legal issues. Interruptions are handled firmly but professionally. However, in instances involving highly emotional family law disputes, the Judge occasionally allowed proceedings to become overly prolonged due to a reluctance to curtail repetitive arguments.</w:t>
      </w:r>
    </w:p>
    <w:bookmarkEnd w:id="25"/>
    <w:bookmarkStart w:id="26" w:name="interaction-with-counsel-and-litigants"/>
    <w:p>
      <w:pPr>
        <w:pStyle w:val="Heading3"/>
      </w:pPr>
      <w:r>
        <w:t xml:space="preserve">4.2 Interaction with Counsel and Litigants</w:t>
      </w:r>
    </w:p>
    <w:p>
      <w:pPr>
        <w:pStyle w:val="FirstParagraph"/>
      </w:pPr>
      <w:r>
        <w:t xml:space="preserve">Feedback from attorneys practicing in Kuwait Kuwait City suggests that the Judge is respectful and professional. The Judge listens attentively to submissions and asks pertinent questions to clarify facts. Nevertheless, some respondents noted that the Judge can appear distant or overly formal, which may intimidate self-represented litigants who are less familiar with the legal process. Enhancing approachability without compromising authority is recommended.</w:t>
      </w:r>
    </w:p>
    <w:bookmarkEnd w:id="26"/>
    <w:bookmarkEnd w:id="27"/>
    <w:bookmarkStart w:id="30" w:name="X3bd0613ce16772a830bd1368887227fb7830aa7"/>
    <w:p>
      <w:pPr>
        <w:pStyle w:val="Heading2"/>
      </w:pPr>
      <w:r>
        <w:t xml:space="preserve">5. Administrative Efficiency and Case Management</w:t>
      </w:r>
    </w:p>
    <w:bookmarkStart w:id="28" w:name="timeliness-of-decisions"/>
    <w:p>
      <w:pPr>
        <w:pStyle w:val="Heading3"/>
      </w:pPr>
      <w:r>
        <w:t xml:space="preserve">5.1 Timeliness of Decisions</w:t>
      </w:r>
    </w:p>
    <w:p>
      <w:pPr>
        <w:pStyle w:val="FirstParagraph"/>
      </w:pPr>
      <w:r>
        <w:t xml:space="preserve">One of the critical challenges facing the courts in Kuwait Kuwait City is the backlog of cases. The subject Judge has maintained a reasonable docket turnover rate. However, the average time between the conclusion of hearings and the issuance of written judgments is slightly above the recommended benchmark. Delays in judgment delivery can impact the efficiency of the justice system and the satisfaction of the litigants.</w:t>
      </w:r>
    </w:p>
    <w:bookmarkEnd w:id="28"/>
    <w:bookmarkStart w:id="29" w:name="use-of-technology"/>
    <w:p>
      <w:pPr>
        <w:pStyle w:val="Heading3"/>
      </w:pPr>
      <w:r>
        <w:t xml:space="preserve">5.2 Use of Technology</w:t>
      </w:r>
    </w:p>
    <w:p>
      <w:pPr>
        <w:pStyle w:val="FirstParagraph"/>
      </w:pPr>
      <w:r>
        <w:t xml:space="preserve">The Judge has adapted well to the digital transformation initiatives implemented by the Ministry of Justice. The use of electronic case management systems is proficient. However, there is room for improvement in utilizing digital tools to streamline pre-trial conferences and document exchange, which could further reduce the burden on the court's schedule.</w:t>
      </w:r>
    </w:p>
    <w:bookmarkEnd w:id="29"/>
    <w:bookmarkEnd w:id="30"/>
    <w:bookmarkStart w:id="31" w:name="areas-for-improvement"/>
    <w:p>
      <w:pPr>
        <w:pStyle w:val="Heading2"/>
      </w:pPr>
      <w:r>
        <w:t xml:space="preserve">6. Areas for Improvement</w:t>
      </w:r>
    </w:p>
    <w:p>
      <w:pPr>
        <w:pStyle w:val="FirstParagraph"/>
      </w:pPr>
      <w:r>
        <w:t xml:space="preserve">Based on the data collected, the following areas have been identified for professional development:</w:t>
      </w:r>
    </w:p>
    <w:p>
      <w:pPr>
        <w:numPr>
          <w:ilvl w:val="0"/>
          <w:numId w:val="1002"/>
        </w:numPr>
        <w:pStyle w:val="Compact"/>
      </w:pPr>
      <w:r>
        <w:rPr>
          <w:bCs/>
          <w:b/>
        </w:rPr>
        <w:t xml:space="preserve">Expedited Judgment Writing:</w:t>
      </w:r>
      <w:r>
        <w:t xml:space="preserve"> </w:t>
      </w:r>
      <w:r>
        <w:t xml:space="preserve">Implementing stricter internal deadlines for drafting judgments to reduce the time cases remain open.</w:t>
      </w:r>
    </w:p>
    <w:p>
      <w:pPr>
        <w:numPr>
          <w:ilvl w:val="0"/>
          <w:numId w:val="1002"/>
        </w:numPr>
        <w:pStyle w:val="Compact"/>
      </w:pPr>
      <w:r>
        <w:rPr>
          <w:bCs/>
          <w:b/>
        </w:rPr>
        <w:t xml:space="preserve">Procedural Rigor:</w:t>
      </w:r>
      <w:r>
        <w:t xml:space="preserve"> </w:t>
      </w:r>
      <w:r>
        <w:t xml:space="preserve">Enforcing stricter time limits for oral arguments to prevent unnecessary delays, particularly in complex commercial cases.</w:t>
      </w:r>
    </w:p>
    <w:p>
      <w:pPr>
        <w:numPr>
          <w:ilvl w:val="0"/>
          <w:numId w:val="1002"/>
        </w:numPr>
        <w:pStyle w:val="Compact"/>
      </w:pPr>
      <w:r>
        <w:rPr>
          <w:bCs/>
          <w:b/>
        </w:rPr>
        <w:t xml:space="preserve">Communication Skills:</w:t>
      </w:r>
      <w:r>
        <w:t xml:space="preserve"> </w:t>
      </w:r>
      <w:r>
        <w:t xml:space="preserve">Engaging in training workshops focused on communicating legal concepts clearly to non-lawyers, ensuring that justice is not only done but seen to be understood.</w:t>
      </w:r>
    </w:p>
    <w:bookmarkEnd w:id="31"/>
    <w:bookmarkStart w:id="32" w:name="conclusion-and-recommendations"/>
    <w:p>
      <w:pPr>
        <w:pStyle w:val="Heading2"/>
      </w:pPr>
      <w:r>
        <w:t xml:space="preserve">7. Conclusion and Recommendations</w:t>
      </w:r>
    </w:p>
    <w:p>
      <w:pPr>
        <w:pStyle w:val="FirstParagraph"/>
      </w:pPr>
      <w:r>
        <w:t xml:space="preserve">In conclusion, the subject Judge performs their duties with a high degree of professionalism, legal knowledge, and integrity. The contributions made to the judiciary in Kuwait Kuwait City are significant, and the Judge upholds the dignity of the office. The minor deficiencies noted regarding efficiency and courtroom pacing are common challenges and are amenable to correction through targeted training and administrative adjustments.</w:t>
      </w:r>
    </w:p>
    <w:p>
      <w:pPr>
        <w:pStyle w:val="BodyText"/>
      </w:pPr>
      <w:r>
        <w:t xml:space="preserve">It is the recommendation of this Peer Review Committee that the Judge be commended for their service and encouraged to participate in the upcoming Judicial Efficiency Workshop scheduled for the next quarter. Continued monitoring of case turnaround times is advised to ensure alignment with the strategic goals of the Kuwaiti judicial system.</w:t>
      </w:r>
    </w:p>
    <w:p>
      <w:pPr>
        <w:pStyle w:val="BodyText"/>
      </w:pPr>
      <w:r>
        <w:rPr>
          <w:bCs/>
          <w:b/>
        </w:rPr>
        <w:t xml:space="preserve">Prepared By:</w:t>
      </w:r>
      <w:r>
        <w:br/>
      </w:r>
      <w:r>
        <w:t xml:space="preserve">Dr. [Name Redacted]</w:t>
      </w:r>
      <w:r>
        <w:br/>
      </w:r>
      <w:r>
        <w:t xml:space="preserve">Senior Peer Reviewer</w:t>
      </w:r>
      <w:r>
        <w:br/>
      </w:r>
      <w:r>
        <w:t xml:space="preserve">Judicial Council</w:t>
      </w:r>
    </w:p>
    <w:p>
      <w:pPr>
        <w:pStyle w:val="BodyText"/>
      </w:pPr>
      <w:r>
        <w:rPr>
          <w:bCs/>
          <w:b/>
        </w:rPr>
        <w:t xml:space="preserve">Approved By:</w:t>
      </w:r>
      <w:r>
        <w:br/>
      </w:r>
      <w:r>
        <w:t xml:space="preserve">[Name Redacted]</w:t>
      </w:r>
      <w:r>
        <w:br/>
      </w:r>
      <w:r>
        <w:t xml:space="preserve">Head of Judicial Administration</w:t>
      </w:r>
      <w:r>
        <w:br/>
      </w:r>
      <w:r>
        <w:t xml:space="preserve">Kuwait Kuwait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2026-10-10T03:18:28Z</dcterms:created>
  <dcterms:modified xsi:type="dcterms:W3CDTF">2026-10-10T03:18:28Z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