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bookmarkStart w:id="26" w:name="X064274ce211e25c97ba1a783b02c783fc1976d8"/>
    <w:p>
      <w:pPr>
        <w:pStyle w:val="Heading1"/>
      </w:pPr>
      <w:r>
        <w:t xml:space="preserve">Peer Review Report: Judicial Performance Assessment</w:t>
      </w:r>
    </w:p>
    <w:p>
      <w:pPr>
        <w:pStyle w:val="FirstParagraph"/>
      </w:pPr>
      <w:r>
        <w:rPr>
          <w:bCs/>
          <w:b/>
        </w:rPr>
        <w:t xml:space="preserve">Subject:</w:t>
      </w:r>
      <w:r>
        <w:t xml:space="preserve"> </w:t>
      </w:r>
      <w:r>
        <w:t xml:space="preserve">Judicial Conduct and Competence</w:t>
      </w:r>
      <w:r>
        <w:br/>
      </w:r>
      <w:r>
        <w:rPr>
          <w:bCs/>
          <w:b/>
        </w:rPr>
        <w:t xml:space="preserve">Role:</w:t>
      </w:r>
      <w:r>
        <w:t xml:space="preserve"> </w:t>
      </w:r>
      <w:r>
        <w:t xml:space="preserve">Judge (High Court)</w:t>
      </w:r>
      <w:r>
        <w:br/>
      </w:r>
      <w:r>
        <w:rPr>
          <w:bCs/>
          <w:b/>
        </w:rPr>
        <w:t xml:space="preserve">Location:</w:t>
      </w:r>
      <w:r>
        <w:t xml:space="preserve"> </w:t>
      </w:r>
      <w:r>
        <w:t xml:space="preserve">Kuala Lumpur, Malaysia</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Confidentiality:</w:t>
      </w:r>
      <w:r>
        <w:t xml:space="preserve"> </w:t>
      </w:r>
      <w:r>
        <w:t xml:space="preserve">Strictly Confidential</w:t>
      </w:r>
    </w:p>
    <w:p>
      <w:pPr>
        <w:pStyle w:val="BodyText"/>
      </w:pPr>
      <w:r>
        <w:t xml:space="preserve">This document serves as a formal</w:t>
      </w:r>
      <w:r>
        <w:t xml:space="preserve"> </w:t>
      </w:r>
      <w:r>
        <w:rPr>
          <w:bCs/>
          <w:b/>
        </w:rPr>
        <w:t xml:space="preserve">Peer Review Report</w:t>
      </w:r>
      <w:r>
        <w:t xml:space="preserve"> </w:t>
      </w:r>
      <w:r>
        <w:t xml:space="preserve">concerning the professional performance, judicial temperament, and administrative efficiency of a</w:t>
      </w:r>
      <w:r>
        <w:t xml:space="preserve"> </w:t>
      </w:r>
      <w:r>
        <w:rPr>
          <w:bCs/>
          <w:b/>
        </w:rPr>
        <w:t xml:space="preserve">Judge</w:t>
      </w:r>
      <w:r>
        <w:t xml:space="preserve"> </w:t>
      </w:r>
      <w:r>
        <w:t xml:space="preserve">presiding within the High Court of Malaya, specifically situated in</w:t>
      </w:r>
      <w:r>
        <w:t xml:space="preserve"> </w:t>
      </w:r>
      <w:r>
        <w:rPr>
          <w:bCs/>
          <w:b/>
        </w:rPr>
        <w:t xml:space="preserve">Malaysia Kuala Lumpur</w:t>
      </w:r>
      <w:r>
        <w:t xml:space="preserve">. The purpose of this assessment is to evaluate the subject's adherence to the principles of judicial independence, integrity, and impartiality as enshrined in the Federal Constitution of Malaysia and the Code of Judicial Conduct.</w:t>
      </w:r>
    </w:p>
    <w:p>
      <w:pPr>
        <w:pStyle w:val="BodyText"/>
      </w:pPr>
      <w:r>
        <w:t xml:space="preserve">The review process was conducted by a panel of senior judicial peers and legal experts familiar with the complexities of the Malaysian legal system. The assessment focuses on the Judge's handling of civil and criminal matters, their interaction with counsel and litigants, and their contribution to the administration of justice in the capital city.</w:t>
      </w:r>
    </w:p>
    <w:bookmarkStart w:id="20" w:name="introduction-and-context"/>
    <w:p>
      <w:pPr>
        <w:pStyle w:val="Heading2"/>
      </w:pPr>
      <w:r>
        <w:t xml:space="preserve">1. Introduction and Context</w:t>
      </w:r>
    </w:p>
    <w:p>
      <w:pPr>
        <w:pStyle w:val="FirstParagraph"/>
      </w:pPr>
      <w:r>
        <w:t xml:space="preserve">The judiciary in</w:t>
      </w:r>
      <w:r>
        <w:t xml:space="preserve"> </w:t>
      </w:r>
      <w:r>
        <w:rPr>
          <w:bCs/>
          <w:b/>
        </w:rPr>
        <w:t xml:space="preserve">Malaysia Kuala Lumpur</w:t>
      </w:r>
      <w:r>
        <w:t xml:space="preserve"> </w:t>
      </w:r>
      <w:r>
        <w:t xml:space="preserve">operates under significant pressure due to the high volume of cases and the diversity of legal issues presented. As a</w:t>
      </w:r>
      <w:r>
        <w:t xml:space="preserve"> </w:t>
      </w:r>
      <w:r>
        <w:rPr>
          <w:bCs/>
          <w:b/>
        </w:rPr>
        <w:t xml:space="preserve">Judge</w:t>
      </w:r>
      <w:r>
        <w:t xml:space="preserve"> </w:t>
      </w:r>
      <w:r>
        <w:t xml:space="preserve">in this jurisdiction, the subject is expected to demonstrate not only a profound understanding of statutory law and case precedents but also the ability to manage court proceedings with decorum and efficiency. This</w:t>
      </w:r>
      <w:r>
        <w:t xml:space="preserve"> </w:t>
      </w:r>
      <w:r>
        <w:rPr>
          <w:bCs/>
          <w:b/>
        </w:rPr>
        <w:t xml:space="preserve">Peer Review Report</w:t>
      </w:r>
      <w:r>
        <w:t xml:space="preserve"> </w:t>
      </w:r>
      <w:r>
        <w:t xml:space="preserve">aims to provide an objective analysis of the Judge's performance against these high standards.</w:t>
      </w:r>
    </w:p>
    <w:p>
      <w:pPr>
        <w:pStyle w:val="BodyText"/>
      </w:pPr>
      <w:r>
        <w:t xml:space="preserve">The review considers the unique cultural and legal landscape of Kuala Lumpur, where the Judge must navigate a multicultural society while upholding the rule of law. The assessment covers the period from January to September 2023, encompassing a wide range of case types, including commercial disputes, family law matters, and criminal trials.</w:t>
      </w:r>
    </w:p>
    <w:bookmarkEnd w:id="20"/>
    <w:bookmarkStart w:id="21" w:name="judicial-competence-and-legal-acumen"/>
    <w:p>
      <w:pPr>
        <w:pStyle w:val="Heading2"/>
      </w:pPr>
      <w:r>
        <w:t xml:space="preserve">2. Judicial Competence and Legal Acumen</w:t>
      </w:r>
    </w:p>
    <w:p>
      <w:pPr>
        <w:pStyle w:val="FirstParagraph"/>
      </w:pPr>
      <w:r>
        <w:t xml:space="preserve">The primary criterion for any</w:t>
      </w:r>
      <w:r>
        <w:t xml:space="preserve"> </w:t>
      </w:r>
      <w:r>
        <w:rPr>
          <w:bCs/>
          <w:b/>
        </w:rPr>
        <w:t xml:space="preserve">Judge</w:t>
      </w:r>
      <w:r>
        <w:t xml:space="preserve"> </w:t>
      </w:r>
      <w:r>
        <w:t xml:space="preserve">is their legal competence. The review panel observed that the subject demonstrates a strong grasp of Malaysian law, including the Civil Procedure Code, the Criminal Procedure Code, and relevant substantive laws. The Judge's judgments are well-reasoned, clearly articulated, and grounded in established legal principles.</w:t>
      </w:r>
    </w:p>
    <w:p>
      <w:pPr>
        <w:pStyle w:val="BodyText"/>
      </w:pPr>
      <w:r>
        <w:t xml:space="preserve">In complex commercial cases, the Judge has shown the ability to dissect intricate factual matrices and apply legal principles accurately. The written judgments are concise yet comprehensive, providing clear guidance to the parties involved. This is particularly important in</w:t>
      </w:r>
      <w:r>
        <w:t xml:space="preserve"> </w:t>
      </w:r>
      <w:r>
        <w:rPr>
          <w:bCs/>
          <w:b/>
        </w:rPr>
        <w:t xml:space="preserve">Malaysia Kuala Lumpur</w:t>
      </w:r>
      <w:r>
        <w:t xml:space="preserve">, where commercial litigation often involves high stakes and significant economic implications.</w:t>
      </w:r>
    </w:p>
    <w:p>
      <w:pPr>
        <w:pStyle w:val="BodyText"/>
      </w:pPr>
      <w:r>
        <w:t xml:space="preserve">Furthermore, the Judge has kept abreast of recent legal developments and judicial decisions from higher courts, including the Court of Appeal and the Federal Court. This commitment to continuous learning ensures that the Judge's rulings remain relevant and consistent with the evolving legal landscape.</w:t>
      </w:r>
    </w:p>
    <w:bookmarkEnd w:id="21"/>
    <w:bookmarkStart w:id="22" w:name="judicial-temperament-and-conduct"/>
    <w:p>
      <w:pPr>
        <w:pStyle w:val="Heading2"/>
      </w:pPr>
      <w:r>
        <w:t xml:space="preserve">3. Judicial Temperament and Conduct</w:t>
      </w:r>
    </w:p>
    <w:p>
      <w:pPr>
        <w:pStyle w:val="FirstParagraph"/>
      </w:pPr>
      <w:r>
        <w:t xml:space="preserve">Judicial temperament is a critical aspect of a</w:t>
      </w:r>
      <w:r>
        <w:t xml:space="preserve"> </w:t>
      </w:r>
      <w:r>
        <w:rPr>
          <w:bCs/>
          <w:b/>
        </w:rPr>
        <w:t xml:space="preserve">Judge</w:t>
      </w:r>
      <w:r>
        <w:t xml:space="preserve">'s role. The review panel noted that the subject maintains a calm, patient, and respectful demeanor in the courtroom. The Judge treats all parties, regardless of their background or status, with equal respect and dignity.</w:t>
      </w:r>
    </w:p>
    <w:p>
      <w:pPr>
        <w:pStyle w:val="BodyText"/>
      </w:pPr>
      <w:r>
        <w:t xml:space="preserve">In</w:t>
      </w:r>
      <w:r>
        <w:t xml:space="preserve"> </w:t>
      </w:r>
      <w:r>
        <w:rPr>
          <w:bCs/>
          <w:b/>
        </w:rPr>
        <w:t xml:space="preserve">Malaysia Kuala Lumpur</w:t>
      </w:r>
      <w:r>
        <w:t xml:space="preserve">, where cases often involve sensitive cultural and religious issues, the Judge's ability to remain impartial and unbiased is paramount. The review found no instances of bias or prejudice in the Judge's conduct. The subject has consistently demonstrated the ability to manage contentious situations with professionalism and composure.</w:t>
      </w:r>
    </w:p>
    <w:p>
      <w:pPr>
        <w:pStyle w:val="BodyText"/>
      </w:pPr>
      <w:r>
        <w:t xml:space="preserve">The Judge's interactions with counsel are also commendable. The subject encourages thorough legal argumentation while ensuring that proceedings remain focused and efficient. This balance is essential for maintaining the integrity of the judicial process and ensuring that justice is delivered in a timely manner.</w:t>
      </w:r>
    </w:p>
    <w:bookmarkEnd w:id="22"/>
    <w:bookmarkStart w:id="23" w:name="case-management-and-efficiency"/>
    <w:p>
      <w:pPr>
        <w:pStyle w:val="Heading2"/>
      </w:pPr>
      <w:r>
        <w:t xml:space="preserve">4. Case Management and Efficiency</w:t>
      </w:r>
    </w:p>
    <w:p>
      <w:pPr>
        <w:pStyle w:val="FirstParagraph"/>
      </w:pPr>
      <w:r>
        <w:t xml:space="preserve">Efficient case management is crucial for the effective functioning of the judiciary in</w:t>
      </w:r>
      <w:r>
        <w:t xml:space="preserve"> </w:t>
      </w:r>
      <w:r>
        <w:rPr>
          <w:bCs/>
          <w:b/>
        </w:rPr>
        <w:t xml:space="preserve">Malaysia Kuala Lumpur</w:t>
      </w:r>
      <w:r>
        <w:t xml:space="preserve">. The review panel observed that the Judge employs effective case management techniques to ensure that cases progress smoothly and without unnecessary delays.</w:t>
      </w:r>
    </w:p>
    <w:p>
      <w:pPr>
        <w:pStyle w:val="BodyText"/>
      </w:pPr>
      <w:r>
        <w:t xml:space="preserve">The subject has implemented strict timelines for the submission of documents and the completion of various stages of the proceedings. This approach has helped to reduce the backlog of cases and ensure that litigants receive timely resolutions. The Judge's proactive management of cases has been particularly effective in complex commercial disputes, where delays can have significant financial consequences.</w:t>
      </w:r>
    </w:p>
    <w:p>
      <w:pPr>
        <w:pStyle w:val="BodyText"/>
      </w:pPr>
      <w:r>
        <w:t xml:space="preserve">Additionally, the Judge has shown a willingness to explore alternative dispute resolution mechanisms where appropriate. This approach not only alleviates the burden on the court system but also provides parties with more flexible and cost-effective options for resolving their disputes.</w:t>
      </w:r>
    </w:p>
    <w:bookmarkEnd w:id="23"/>
    <w:bookmarkStart w:id="24" w:name="integrity-and-ethical-standards"/>
    <w:p>
      <w:pPr>
        <w:pStyle w:val="Heading2"/>
      </w:pPr>
      <w:r>
        <w:t xml:space="preserve">5. Integrity and Ethical Standards</w:t>
      </w:r>
    </w:p>
    <w:p>
      <w:pPr>
        <w:pStyle w:val="FirstParagraph"/>
      </w:pPr>
      <w:r>
        <w:t xml:space="preserve">Integrity is the cornerstone of the judiciary. The review panel found that the subject adheres strictly to the highest ethical standards. The Judge has consistently demonstrated impartiality, honesty, and a commitment to the rule of law.</w:t>
      </w:r>
    </w:p>
    <w:p>
      <w:pPr>
        <w:pStyle w:val="BodyText"/>
      </w:pPr>
      <w:r>
        <w:t xml:space="preserve">In</w:t>
      </w:r>
      <w:r>
        <w:t xml:space="preserve"> </w:t>
      </w:r>
      <w:r>
        <w:rPr>
          <w:bCs/>
          <w:b/>
        </w:rPr>
        <w:t xml:space="preserve">Malaysia Kuala Lumpur</w:t>
      </w:r>
      <w:r>
        <w:t xml:space="preserve">, where the judiciary is under constant public scrutiny, the Judge's conduct both inside and outside the courtroom is of utmost importance. The review found no evidence of any ethical breaches or conflicts of interest. The subject has maintained a high level of professionalism and has avoided any actions that could compromise the integrity of the office.</w:t>
      </w:r>
    </w:p>
    <w:p>
      <w:pPr>
        <w:pStyle w:val="BodyText"/>
      </w:pPr>
      <w:r>
        <w:rPr>
          <w:bCs/>
          <w:b/>
        </w:rPr>
        <w:t xml:space="preserve">Key Observation:</w:t>
      </w:r>
      <w:r>
        <w:t xml:space="preserve"> </w:t>
      </w:r>
      <w:r>
        <w:t xml:space="preserve">The Judge's unwavering commitment to ethical standards serves as a model for other judicial officers and reinforces public confidence in the judiciary of Malaysia.</w:t>
      </w:r>
    </w:p>
    <w:bookmarkEnd w:id="24"/>
    <w:bookmarkStart w:id="25"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 review panel concludes that the</w:t>
      </w:r>
      <w:r>
        <w:t xml:space="preserve"> </w:t>
      </w:r>
      <w:r>
        <w:rPr>
          <w:bCs/>
          <w:b/>
        </w:rPr>
        <w:t xml:space="preserve">Judge</w:t>
      </w:r>
      <w:r>
        <w:t xml:space="preserve"> </w:t>
      </w:r>
      <w:r>
        <w:t xml:space="preserve">in question performs their duties with a high degree of competence, integrity, and professionalism. The subject's contributions to the administration of justice in</w:t>
      </w:r>
      <w:r>
        <w:t xml:space="preserve"> </w:t>
      </w:r>
      <w:r>
        <w:rPr>
          <w:bCs/>
          <w:b/>
        </w:rPr>
        <w:t xml:space="preserve">Malaysia Kuala Lumpur</w:t>
      </w:r>
      <w:r>
        <w:t xml:space="preserve"> </w:t>
      </w:r>
      <w:r>
        <w:t xml:space="preserve">are significant and commendable.</w:t>
      </w:r>
    </w:p>
    <w:p>
      <w:pPr>
        <w:pStyle w:val="BodyText"/>
      </w:pPr>
      <w:r>
        <w:t xml:space="preserve">However, the panel recommends the following areas for further development:</w:t>
      </w:r>
    </w:p>
    <w:p>
      <w:pPr>
        <w:numPr>
          <w:ilvl w:val="0"/>
          <w:numId w:val="1001"/>
        </w:numPr>
        <w:pStyle w:val="Compact"/>
      </w:pPr>
      <w:r>
        <w:t xml:space="preserve">Continued engagement with legal education and training programs to stay updated on emerging legal issues.</w:t>
      </w:r>
    </w:p>
    <w:p>
      <w:pPr>
        <w:numPr>
          <w:ilvl w:val="0"/>
          <w:numId w:val="1001"/>
        </w:numPr>
        <w:pStyle w:val="Compact"/>
      </w:pPr>
      <w:r>
        <w:t xml:space="preserve">Further exploration of technology-assisted case management tools to enhance efficiency.</w:t>
      </w:r>
    </w:p>
    <w:p>
      <w:pPr>
        <w:numPr>
          <w:ilvl w:val="0"/>
          <w:numId w:val="1001"/>
        </w:numPr>
        <w:pStyle w:val="Compact"/>
      </w:pPr>
      <w:r>
        <w:t xml:space="preserve">Increased participation in judicial conferences and seminars to share best practices with peers.</w:t>
      </w:r>
    </w:p>
    <w:p>
      <w:pPr>
        <w:pStyle w:val="FirstParagraph"/>
      </w:pPr>
      <w:r>
        <w:t xml:space="preserve">In conclusion, this</w:t>
      </w:r>
      <w:r>
        <w:t xml:space="preserve"> </w:t>
      </w:r>
      <w:r>
        <w:rPr>
          <w:bCs/>
          <w:b/>
        </w:rPr>
        <w:t xml:space="preserve">Peer Review Report</w:t>
      </w:r>
      <w:r>
        <w:t xml:space="preserve"> </w:t>
      </w:r>
      <w:r>
        <w:t xml:space="preserve">affirms the subject's suitability for their role as a</w:t>
      </w:r>
      <w:r>
        <w:t xml:space="preserve"> </w:t>
      </w:r>
      <w:r>
        <w:rPr>
          <w:bCs/>
          <w:b/>
        </w:rPr>
        <w:t xml:space="preserve">Judge</w:t>
      </w:r>
      <w:r>
        <w:t xml:space="preserve"> </w:t>
      </w:r>
      <w:r>
        <w:t xml:space="preserve">in the High Court of Malaya,</w:t>
      </w:r>
      <w:r>
        <w:t xml:space="preserve"> </w:t>
      </w:r>
      <w:r>
        <w:rPr>
          <w:bCs/>
          <w:b/>
        </w:rPr>
        <w:t xml:space="preserve">Malaysia Kuala Lumpur</w:t>
      </w:r>
      <w:r>
        <w:t xml:space="preserve">. The subject's dedication to the principles of justice, fairness, and integrity is evident in their daily work, and they are well-regarded by their peers and the legal community.</w:t>
      </w:r>
    </w:p>
    <w:p>
      <w:pPr>
        <w:pStyle w:val="BodyText"/>
      </w:pPr>
      <w:r>
        <w:rPr>
          <w:bCs/>
          <w:b/>
        </w:rPr>
        <w:t xml:space="preserve">Reviewed By:</w:t>
      </w:r>
      <w:r>
        <w:br/>
      </w:r>
      <w:r>
        <w:t xml:space="preserve">Senior Judge, High Court of Malaya</w:t>
      </w:r>
      <w:r>
        <w:br/>
      </w:r>
      <w:r>
        <w:t xml:space="preserve">Kuala Lumpur</w:t>
      </w:r>
    </w:p>
    <w:p>
      <w:pPr>
        <w:pStyle w:val="BodyText"/>
      </w:pPr>
      <w:r>
        <w:rPr>
          <w:bCs/>
          <w:b/>
        </w:rPr>
        <w:t xml:space="preserve">Approved By:</w:t>
      </w:r>
      <w:r>
        <w:br/>
      </w:r>
      <w:r>
        <w:t xml:space="preserve">Chairman, Judicial Appointments Commission</w:t>
      </w:r>
      <w:r>
        <w:br/>
      </w:r>
      <w:r>
        <w:t xml:space="preserve">Malaysia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2026-10-10T07:36:55Z</dcterms:created>
  <dcterms:modified xsi:type="dcterms:W3CDTF">2026-10-10T07:36:55Z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