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Professional Conduct Assessment</w:t>
      </w:r>
    </w:p>
    <w:bookmarkEnd w:id="20"/>
    <w:p>
      <w:pPr>
        <w:pStyle w:val="BodyText"/>
      </w:pPr>
      <w:r>
        <w:rPr>
          <w:bCs/>
          <w:b/>
        </w:rPr>
        <w:t xml:space="preserve">Subject:</w:t>
      </w:r>
      <w:r>
        <w:t xml:space="preserve"> </w:t>
      </w:r>
      <w:r>
        <w:t xml:space="preserve">Evaluation of the Judge</w:t>
      </w:r>
    </w:p>
    <w:p>
      <w:pPr>
        <w:pStyle w:val="BodyText"/>
      </w:pPr>
      <w:r>
        <w:rPr>
          <w:bCs/>
          <w:b/>
        </w:rPr>
        <w:t xml:space="preserve">Location:</w:t>
      </w:r>
      <w:r>
        <w:t xml:space="preserve"> </w:t>
      </w:r>
      <w:r>
        <w:t xml:space="preserve">Morocco Casablanca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High Council of the Judiciary (CSM) Peer Committee</w:t>
      </w:r>
    </w:p>
    <w:p>
      <w:pPr>
        <w:pStyle w:val="BodyText"/>
      </w:pPr>
      <w:r>
        <w:rPr>
          <w:bCs/>
          <w:b/>
        </w:rPr>
        <w:t xml:space="preserve">Case Jurisdiction:</w:t>
      </w:r>
      <w:r>
        <w:t xml:space="preserve"> </w:t>
      </w:r>
      <w:r>
        <w:t xml:space="preserve">First Instance Court, Casablanca</w:t>
      </w:r>
    </w:p>
    <w:p>
      <w:pPr>
        <w:pStyle w:val="BodyText"/>
      </w:pPr>
      <w:r>
        <w:rPr>
          <w:bCs/>
          <w:b/>
        </w:rPr>
        <w:t xml:space="preserve">Report ID:</w:t>
      </w:r>
      <w:r>
        <w:t xml:space="preserve"> </w:t>
      </w:r>
      <w:r>
        <w:t xml:space="preserve">MOC-CAS-JD-2023-089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a specific</w:t>
      </w:r>
      <w:r>
        <w:t xml:space="preserve"> </w:t>
      </w:r>
      <w:r>
        <w:rPr>
          <w:bCs/>
          <w:b/>
        </w:rPr>
        <w:t xml:space="preserve">Judge</w:t>
      </w:r>
      <w:r>
        <w:t xml:space="preserve"> </w:t>
      </w:r>
      <w:r>
        <w:t xml:space="preserve">operating within the judicial district of</w:t>
      </w:r>
      <w:r>
        <w:t xml:space="preserve"> </w:t>
      </w:r>
      <w:r>
        <w:rPr>
          <w:bCs/>
          <w:b/>
        </w:rPr>
        <w:t xml:space="preserve">Morocco Casablanca</w:t>
      </w:r>
      <w:r>
        <w:t xml:space="preserve">. As the economic capital of the Kingdom, Casablanca presents a unique and demanding environment for the judiciary, characterized by a high volume of commercial litigation, complex civil disputes, and diverse social dynamics. The purpose of this review is to ensure that the</w:t>
      </w:r>
      <w:r>
        <w:t xml:space="preserve"> </w:t>
      </w:r>
      <w:r>
        <w:rPr>
          <w:bCs/>
          <w:b/>
        </w:rPr>
        <w:t xml:space="preserve">Judge</w:t>
      </w:r>
      <w:r>
        <w:t xml:space="preserve"> </w:t>
      </w:r>
      <w:r>
        <w:t xml:space="preserve">adheres to the highest standards of the Moroccan legal code, maintains impartiality, and contributes effectively to the rule of law in this bustling metropolis.</w:t>
      </w:r>
    </w:p>
    <w:p>
      <w:pPr>
        <w:pStyle w:val="BodyText"/>
      </w:pPr>
      <w:r>
        <w:t xml:space="preserve">The evaluation process involved a comprehensive analysis of case files, courtroom observation, and confidential feedback from legal peers. The findings presented herein are intended to support the continuous professional development of the</w:t>
      </w:r>
      <w:r>
        <w:t xml:space="preserve"> </w:t>
      </w:r>
      <w:r>
        <w:rPr>
          <w:bCs/>
          <w:b/>
        </w:rPr>
        <w:t xml:space="preserve">Judge</w:t>
      </w:r>
      <w:r>
        <w:t xml:space="preserve"> </w:t>
      </w:r>
      <w:r>
        <w:t xml:space="preserve">and to uphold the integrity of the judicial system in</w:t>
      </w:r>
      <w:r>
        <w:t xml:space="preserve"> </w:t>
      </w:r>
      <w:r>
        <w:rPr>
          <w:bCs/>
          <w:b/>
        </w:rPr>
        <w:t xml:space="preserve">Morocco Casablanca</w:t>
      </w:r>
      <w:r>
        <w:t xml:space="preserve">.</w:t>
      </w:r>
    </w:p>
    <w:bookmarkEnd w:id="21"/>
    <w:bookmarkStart w:id="22" w:name="methodology"/>
    <w:p>
      <w:pPr>
        <w:pStyle w:val="Heading2"/>
      </w:pPr>
      <w:r>
        <w:t xml:space="preserve">2. Methodology</w:t>
      </w:r>
    </w:p>
    <w:p>
      <w:pPr>
        <w:pStyle w:val="FirstParagraph"/>
      </w:pPr>
      <w:r>
        <w:t xml:space="preserve">The</w:t>
      </w:r>
      <w:r>
        <w:t xml:space="preserve"> </w:t>
      </w:r>
      <w:r>
        <w:rPr>
          <w:bCs/>
          <w:b/>
        </w:rPr>
        <w:t xml:space="preserve">Peer Review Report</w:t>
      </w:r>
      <w:r>
        <w:t xml:space="preserve"> </w:t>
      </w:r>
      <w:r>
        <w:t xml:space="preserve">was conducted using a multi-faceted approach designed to capture a holistic view of the</w:t>
      </w:r>
      <w:r>
        <w:t xml:space="preserve"> </w:t>
      </w:r>
      <w:r>
        <w:rPr>
          <w:bCs/>
          <w:b/>
        </w:rPr>
        <w:t xml:space="preserve">Judge</w:t>
      </w:r>
      <w:r>
        <w:t xml:space="preserve">'s performance. The methodology included:</w:t>
      </w:r>
    </w:p>
    <w:p>
      <w:pPr>
        <w:numPr>
          <w:ilvl w:val="0"/>
          <w:numId w:val="1001"/>
        </w:numPr>
        <w:pStyle w:val="Compact"/>
      </w:pPr>
      <w:r>
        <w:rPr>
          <w:bCs/>
          <w:b/>
        </w:rPr>
        <w:t xml:space="preserve">Case File Analysis:</w:t>
      </w:r>
      <w:r>
        <w:t xml:space="preserve"> </w:t>
      </w:r>
      <w:r>
        <w:t xml:space="preserve">A random sampling of 50 closed cases from the past 12 months was reviewed to assess the quality of written judgments, adherence to procedural timelines, and the application of Moroccan law.</w:t>
      </w:r>
    </w:p>
    <w:p>
      <w:pPr>
        <w:numPr>
          <w:ilvl w:val="0"/>
          <w:numId w:val="1001"/>
        </w:numPr>
        <w:pStyle w:val="Compact"/>
      </w:pPr>
      <w:r>
        <w:rPr>
          <w:bCs/>
          <w:b/>
        </w:rPr>
        <w:t xml:space="preserve">Classroom Observation:</w:t>
      </w:r>
      <w:r>
        <w:t xml:space="preserve"> </w:t>
      </w:r>
      <w:r>
        <w:t xml:space="preserve">Three separate court sessions were observed by senior peers to evaluate courtroom management, interaction with litigants, and the maintenance of decorum.</w:t>
      </w:r>
    </w:p>
    <w:p>
      <w:pPr>
        <w:numPr>
          <w:ilvl w:val="0"/>
          <w:numId w:val="1001"/>
        </w:numPr>
        <w:pStyle w:val="Compact"/>
      </w:pPr>
      <w:r>
        <w:rPr>
          <w:bCs/>
          <w:b/>
        </w:rPr>
        <w:t xml:space="preserve">Stakeholder Feedback:</w:t>
      </w:r>
      <w:r>
        <w:t xml:space="preserve"> </w:t>
      </w:r>
      <w:r>
        <w:t xml:space="preserve">Anonymous surveys were distributed to practicing attorneys and court staff in</w:t>
      </w:r>
      <w:r>
        <w:t xml:space="preserve"> </w:t>
      </w:r>
      <w:r>
        <w:rPr>
          <w:bCs/>
          <w:b/>
        </w:rPr>
        <w:t xml:space="preserve">Morocco Casablanca</w:t>
      </w:r>
      <w:r>
        <w:t xml:space="preserve"> </w:t>
      </w:r>
      <w:r>
        <w:t xml:space="preserve">to gauge perceptions of the</w:t>
      </w:r>
      <w:r>
        <w:t xml:space="preserve"> </w:t>
      </w:r>
      <w:r>
        <w:rPr>
          <w:bCs/>
          <w:b/>
        </w:rPr>
        <w:t xml:space="preserve">Judge</w:t>
      </w:r>
      <w:r>
        <w:t xml:space="preserve">'s fairness and accessibility.</w:t>
      </w:r>
    </w:p>
    <w:bookmarkEnd w:id="22"/>
    <w:bookmarkStart w:id="23" w:name="X70aba80be6b12ec51d6d74ad4f40b60b8cb8ac9"/>
    <w:p>
      <w:pPr>
        <w:pStyle w:val="Heading2"/>
      </w:pPr>
      <w:r>
        <w:t xml:space="preserve">3. Assessment of Judicial Reasoning and Legal Knowledge</w:t>
      </w:r>
    </w:p>
    <w:p>
      <w:pPr>
        <w:pStyle w:val="FirstParagraph"/>
      </w:pPr>
      <w:r>
        <w:t xml:space="preserve">A primary focus of this</w:t>
      </w:r>
      <w:r>
        <w:t xml:space="preserve"> </w:t>
      </w:r>
      <w:r>
        <w:rPr>
          <w:bCs/>
          <w:b/>
        </w:rPr>
        <w:t xml:space="preserve">Peer Review Report</w:t>
      </w:r>
      <w:r>
        <w:t xml:space="preserve"> </w:t>
      </w:r>
      <w:r>
        <w:t xml:space="preserve">is the intellectual rigor of the</w:t>
      </w:r>
      <w:r>
        <w:t xml:space="preserve"> </w:t>
      </w:r>
      <w:r>
        <w:rPr>
          <w:bCs/>
          <w:b/>
        </w:rPr>
        <w:t xml:space="preserve">Judge</w:t>
      </w:r>
      <w:r>
        <w:t xml:space="preserve">. In the context of</w:t>
      </w:r>
      <w:r>
        <w:t xml:space="preserve"> </w:t>
      </w:r>
      <w:r>
        <w:rPr>
          <w:bCs/>
          <w:b/>
        </w:rPr>
        <w:t xml:space="preserve">Morocco Casablanca</w:t>
      </w:r>
      <w:r>
        <w:t xml:space="preserve">, where commercial law and international trade disputes are prevalent, a deep understanding of statutory law is essential. The review indicates that the</w:t>
      </w:r>
      <w:r>
        <w:t xml:space="preserve"> </w:t>
      </w:r>
      <w:r>
        <w:rPr>
          <w:bCs/>
          <w:b/>
        </w:rPr>
        <w:t xml:space="preserve">Judge</w:t>
      </w:r>
      <w:r>
        <w:t xml:space="preserve"> </w:t>
      </w:r>
      <w:r>
        <w:t xml:space="preserve">demonstrates a robust command of the Moroccan Civil Code and Commercial Code.</w:t>
      </w:r>
    </w:p>
    <w:p>
      <w:pPr>
        <w:pStyle w:val="BodyText"/>
      </w:pPr>
      <w:r>
        <w:t xml:space="preserve">The written judgments analyzed were generally well-structured, logically sound, and clearly articulated. The</w:t>
      </w:r>
      <w:r>
        <w:t xml:space="preserve"> </w:t>
      </w:r>
      <w:r>
        <w:rPr>
          <w:bCs/>
          <w:b/>
        </w:rPr>
        <w:t xml:space="preserve">Judge</w:t>
      </w:r>
      <w:r>
        <w:t xml:space="preserve"> </w:t>
      </w:r>
      <w:r>
        <w:t xml:space="preserve">consistently provides detailed reasoning for rulings, which is crucial for maintaining public trust in the judiciary. However, the report notes that in complex financial cases, there is room for improvement in the citation of recent jurisprudence from the Supreme Court (Cour de Cassation). Strengthening this aspect would further align the</w:t>
      </w:r>
      <w:r>
        <w:t xml:space="preserve"> </w:t>
      </w:r>
      <w:r>
        <w:rPr>
          <w:bCs/>
          <w:b/>
        </w:rPr>
        <w:t xml:space="preserve">Judge</w:t>
      </w:r>
      <w:r>
        <w:t xml:space="preserve">'s work with the evolving legal landscape of</w:t>
      </w:r>
      <w:r>
        <w:t xml:space="preserve"> </w:t>
      </w:r>
      <w:r>
        <w:rPr>
          <w:bCs/>
          <w:b/>
        </w:rPr>
        <w:t xml:space="preserve">Morocco Casablanca</w:t>
      </w:r>
      <w:r>
        <w:t xml:space="preserve">.</w:t>
      </w:r>
    </w:p>
    <w:bookmarkEnd w:id="23"/>
    <w:bookmarkStart w:id="24" w:name="courtroom-conduct-and-impartiality"/>
    <w:p>
      <w:pPr>
        <w:pStyle w:val="Heading2"/>
      </w:pPr>
      <w:r>
        <w:t xml:space="preserve">4. Courtroom Conduct and Impartiality</w:t>
      </w:r>
    </w:p>
    <w:p>
      <w:pPr>
        <w:pStyle w:val="FirstParagraph"/>
      </w:pPr>
      <w:r>
        <w:t xml:space="preserve">Impartiality is the cornerstone of judicial integrity.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maintains a high standard of neutrality. During observed sessions, the</w:t>
      </w:r>
      <w:r>
        <w:t xml:space="preserve"> </w:t>
      </w:r>
      <w:r>
        <w:rPr>
          <w:bCs/>
          <w:b/>
        </w:rPr>
        <w:t xml:space="preserve">Judge</w:t>
      </w:r>
      <w:r>
        <w:t xml:space="preserve"> </w:t>
      </w:r>
      <w:r>
        <w:t xml:space="preserve">treated all parties with equal respect, regardless of their background or legal representation. The courtroom environment was orderly, and the</w:t>
      </w:r>
      <w:r>
        <w:t xml:space="preserve"> </w:t>
      </w:r>
      <w:r>
        <w:rPr>
          <w:bCs/>
          <w:b/>
        </w:rPr>
        <w:t xml:space="preserve">Judge</w:t>
      </w:r>
      <w:r>
        <w:t xml:space="preserve"> </w:t>
      </w:r>
      <w:r>
        <w:t xml:space="preserve">effectively managed interruptions and emotional outbursts, which are not uncommon in the busy courts of</w:t>
      </w:r>
      <w:r>
        <w:t xml:space="preserve"> </w:t>
      </w:r>
      <w:r>
        <w:rPr>
          <w:bCs/>
          <w:b/>
        </w:rPr>
        <w:t xml:space="preserve">Morocco Casablanca</w:t>
      </w:r>
      <w:r>
        <w:t xml:space="preserve">.</w:t>
      </w:r>
    </w:p>
    <w:p>
      <w:pPr>
        <w:pStyle w:val="BodyText"/>
      </w:pPr>
      <w:r>
        <w:t xml:space="preserve">The</w:t>
      </w:r>
      <w:r>
        <w:t xml:space="preserve"> </w:t>
      </w:r>
      <w:r>
        <w:rPr>
          <w:bCs/>
          <w:b/>
        </w:rPr>
        <w:t xml:space="preserve">Judge</w:t>
      </w:r>
      <w:r>
        <w:t xml:space="preserve"> </w:t>
      </w:r>
      <w:r>
        <w:t xml:space="preserve">was observed to be attentive to the arguments presented by both prosecution and defense (or plaintiff and defendant). There were no indications of bias or external influence. The demeanor of the</w:t>
      </w:r>
      <w:r>
        <w:t xml:space="preserve"> </w:t>
      </w:r>
      <w:r>
        <w:rPr>
          <w:bCs/>
          <w:b/>
        </w:rPr>
        <w:t xml:space="preserve">Judge</w:t>
      </w:r>
      <w:r>
        <w:t xml:space="preserve"> </w:t>
      </w:r>
      <w:r>
        <w:t xml:space="preserve">projected authority and professionalism, reinforcing the dignity of the institution.</w:t>
      </w:r>
    </w:p>
    <w:bookmarkEnd w:id="24"/>
    <w:bookmarkStart w:id="25" w:name="efficiency-and-case-management"/>
    <w:p>
      <w:pPr>
        <w:pStyle w:val="Heading2"/>
      </w:pPr>
      <w:r>
        <w:t xml:space="preserve">5. Efficiency and Case Management</w:t>
      </w:r>
    </w:p>
    <w:p>
      <w:pPr>
        <w:pStyle w:val="FirstParagraph"/>
      </w:pPr>
      <w:r>
        <w:t xml:space="preserve">One of the significant challenges facing the judiciary in</w:t>
      </w:r>
      <w:r>
        <w:t xml:space="preserve"> </w:t>
      </w:r>
      <w:r>
        <w:rPr>
          <w:bCs/>
          <w:b/>
        </w:rPr>
        <w:t xml:space="preserve">Morocco Casablanca</w:t>
      </w:r>
      <w:r>
        <w:t xml:space="preserve"> </w:t>
      </w:r>
      <w:r>
        <w:t xml:space="preserve">is the backlog of cases. This</w:t>
      </w:r>
      <w:r>
        <w:t xml:space="preserve"> </w:t>
      </w:r>
      <w:r>
        <w:rPr>
          <w:bCs/>
          <w:b/>
        </w:rPr>
        <w:t xml:space="preserve">Peer Review Report</w:t>
      </w:r>
      <w:r>
        <w:t xml:space="preserve"> </w:t>
      </w:r>
      <w:r>
        <w:t xml:space="preserve">evaluates the</w:t>
      </w:r>
      <w:r>
        <w:t xml:space="preserve"> </w:t>
      </w:r>
      <w:r>
        <w:rPr>
          <w:bCs/>
          <w:b/>
        </w:rPr>
        <w:t xml:space="preserve">Judge</w:t>
      </w:r>
      <w:r>
        <w:t xml:space="preserve">'s ability to manage their docket efficiently. The data shows that the</w:t>
      </w:r>
      <w:r>
        <w:t xml:space="preserve"> </w:t>
      </w:r>
      <w:r>
        <w:rPr>
          <w:bCs/>
          <w:b/>
        </w:rPr>
        <w:t xml:space="preserve">Judge</w:t>
      </w:r>
      <w:r>
        <w:t xml:space="preserve"> </w:t>
      </w:r>
      <w:r>
        <w:t xml:space="preserve">has a clearance rate that is slightly above the regional average, which is a commendable achievement.</w:t>
      </w:r>
    </w:p>
    <w:p>
      <w:pPr>
        <w:pStyle w:val="BodyText"/>
      </w:pPr>
      <w:r>
        <w:t xml:space="preserve">The</w:t>
      </w:r>
      <w:r>
        <w:t xml:space="preserve"> </w:t>
      </w:r>
      <w:r>
        <w:rPr>
          <w:bCs/>
          <w:b/>
        </w:rPr>
        <w:t xml:space="preserve">Judge</w:t>
      </w:r>
      <w:r>
        <w:t xml:space="preserve"> </w:t>
      </w:r>
      <w:r>
        <w:t xml:space="preserve">utilizes pre-trial conferences effectively to narrow down issues and encourage settlements where appropriate. This proactive approach helps to reduce the burden on the court system. However, the report suggests that the</w:t>
      </w:r>
      <w:r>
        <w:t xml:space="preserve"> </w:t>
      </w:r>
      <w:r>
        <w:rPr>
          <w:bCs/>
          <w:b/>
        </w:rPr>
        <w:t xml:space="preserve">Judge</w:t>
      </w:r>
      <w:r>
        <w:t xml:space="preserve"> </w:t>
      </w:r>
      <w:r>
        <w:t xml:space="preserve">could further improve efficiency by delegating more administrative tasks to court clerks, allowing for more focused time on substantive legal analysis.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Continuing Legal Education:</w:t>
      </w:r>
      <w:r>
        <w:t xml:space="preserve"> </w:t>
      </w:r>
      <w:r>
        <w:t xml:space="preserve">It is recommended that the</w:t>
      </w:r>
      <w:r>
        <w:t xml:space="preserve"> </w:t>
      </w:r>
      <w:r>
        <w:rPr>
          <w:bCs/>
          <w:b/>
        </w:rPr>
        <w:t xml:space="preserve">Judge</w:t>
      </w:r>
      <w:r>
        <w:t xml:space="preserve"> </w:t>
      </w:r>
      <w:r>
        <w:t xml:space="preserve">attend specialized workshops on international commercial arbitration and digital evidence, areas of growing importance in</w:t>
      </w:r>
      <w:r>
        <w:t xml:space="preserve"> </w:t>
      </w:r>
      <w:r>
        <w:rPr>
          <w:bCs/>
          <w:b/>
        </w:rPr>
        <w:t xml:space="preserve">Morocco Casablanca</w:t>
      </w:r>
      <w:r>
        <w:t xml:space="preserve">.</w:t>
      </w:r>
    </w:p>
    <w:p>
      <w:pPr>
        <w:numPr>
          <w:ilvl w:val="0"/>
          <w:numId w:val="1002"/>
        </w:numPr>
        <w:pStyle w:val="Compact"/>
      </w:pPr>
      <w:r>
        <w:rPr>
          <w:bCs/>
          <w:b/>
        </w:rPr>
        <w:t xml:space="preserve">Judgment Drafting:</w:t>
      </w:r>
      <w:r>
        <w:t xml:space="preserve"> </w:t>
      </w:r>
      <w:r>
        <w:t xml:space="preserve">While the quality is high, the</w:t>
      </w:r>
      <w:r>
        <w:t xml:space="preserve"> </w:t>
      </w:r>
      <w:r>
        <w:rPr>
          <w:bCs/>
          <w:b/>
        </w:rPr>
        <w:t xml:space="preserve">Judge</w:t>
      </w:r>
      <w:r>
        <w:t xml:space="preserve"> </w:t>
      </w:r>
      <w:r>
        <w:t xml:space="preserve">should focus on standardizing the format of judgments to ensure consistency across all chambers.</w:t>
      </w:r>
    </w:p>
    <w:p>
      <w:pPr>
        <w:numPr>
          <w:ilvl w:val="0"/>
          <w:numId w:val="1002"/>
        </w:numPr>
        <w:pStyle w:val="Compact"/>
      </w:pPr>
      <w:r>
        <w:rPr>
          <w:bCs/>
          <w:b/>
        </w:rPr>
        <w:t xml:space="preserve">Stakeholder Engagement:</w:t>
      </w:r>
      <w:r>
        <w:t xml:space="preserve"> </w:t>
      </w:r>
      <w:r>
        <w:t xml:space="preserve">The</w:t>
      </w:r>
      <w:r>
        <w:t xml:space="preserve"> </w:t>
      </w:r>
      <w:r>
        <w:rPr>
          <w:bCs/>
          <w:b/>
        </w:rPr>
        <w:t xml:space="preserve">Judge</w:t>
      </w:r>
      <w:r>
        <w:t xml:space="preserve"> </w:t>
      </w:r>
      <w:r>
        <w:t xml:space="preserve">is encouraged to participate in more bar association events in Casablanca to foster better relationships with the legal community.</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dedicated and competent legal professional who serves the people of</w:t>
      </w:r>
      <w:r>
        <w:t xml:space="preserve"> </w:t>
      </w:r>
      <w:r>
        <w:rPr>
          <w:bCs/>
          <w:b/>
        </w:rPr>
        <w:t xml:space="preserve">Morocco Casablanca</w:t>
      </w:r>
      <w:r>
        <w:t xml:space="preserve"> </w:t>
      </w:r>
      <w:r>
        <w:t xml:space="preserve">with integrity. The</w:t>
      </w:r>
      <w:r>
        <w:t xml:space="preserve"> </w:t>
      </w:r>
      <w:r>
        <w:rPr>
          <w:bCs/>
          <w:b/>
        </w:rPr>
        <w:t xml:space="preserve">Judge</w:t>
      </w:r>
      <w:r>
        <w:t xml:space="preserve"> </w:t>
      </w:r>
      <w:r>
        <w:t xml:space="preserve">plays a vital role in upholding the rule of law in one of Africa's most dynamic cities. By addressing the minor areas for improvement identified in this report, the</w:t>
      </w:r>
      <w:r>
        <w:t xml:space="preserve"> </w:t>
      </w:r>
      <w:r>
        <w:rPr>
          <w:bCs/>
          <w:b/>
        </w:rPr>
        <w:t xml:space="preserve">Judge</w:t>
      </w:r>
      <w:r>
        <w:t xml:space="preserve"> </w:t>
      </w:r>
      <w:r>
        <w:t xml:space="preserve">will continue to enhance their effectiveness and contribute to the modernization of the Moroccan judiciary.</w:t>
      </w:r>
    </w:p>
    <w:p>
      <w:pPr>
        <w:pStyle w:val="BodyText"/>
      </w:pPr>
      <w:r>
        <w:rPr>
          <w:bCs/>
          <w:b/>
        </w:rPr>
        <w:t xml:space="preserve">Lead Reviewer</w:t>
      </w:r>
      <w:r>
        <w:br/>
      </w:r>
      <w:r>
        <w:t xml:space="preserve">Senior Judge, High Council of the Judiciary</w:t>
      </w:r>
    </w:p>
    <w:p>
      <w:pPr>
        <w:pStyle w:val="BodyText"/>
      </w:pPr>
      <w:r>
        <w:rPr>
          <w:bCs/>
          <w:b/>
        </w:rPr>
        <w:t xml:space="preserve">Reviewed By</w:t>
      </w:r>
      <w:r>
        <w:br/>
      </w:r>
      <w:r>
        <w:t xml:space="preserve">Judicial Ethics Committee, Casablanca</w:t>
      </w:r>
    </w:p>
    <w:p>
      <w:pPr>
        <w:pStyle w:val="BodyText"/>
      </w:pPr>
      <w:r>
        <w:t xml:space="preserve">Confidential Document — For Official Use Only — Peer Review Report — Morocco Casablanca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2026-10-10T09:35:47Z</dcterms:created>
  <dcterms:modified xsi:type="dcterms:W3CDTF">2026-10-10T09:35:47Z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