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8" w:name="Xb3a39476a87361a95de5ef3e13942a79e8e2770"/>
    <w:p>
      <w:pPr>
        <w:pStyle w:val="Heading1"/>
      </w:pPr>
      <w:r>
        <w:t xml:space="preserve">Peer Review Report: Judicial Performance Evaluation</w:t>
      </w:r>
    </w:p>
    <w:p>
      <w:pPr>
        <w:pStyle w:val="FirstParagraph"/>
      </w:pPr>
      <w:r>
        <w:t xml:space="preserve">Subject of Review</w:t>
      </w:r>
    </w:p>
    <w:p>
      <w:pPr>
        <w:pStyle w:val="BodyText"/>
      </w:pPr>
      <w:r>
        <w:t xml:space="preserve">Honorable Judge [Name Redacted]</w:t>
      </w:r>
    </w:p>
    <w:p>
      <w:pPr>
        <w:pStyle w:val="BodyText"/>
      </w:pPr>
      <w:r>
        <w:t xml:space="preserve">Jurisdiction</w:t>
      </w:r>
    </w:p>
    <w:p>
      <w:pPr>
        <w:pStyle w:val="BodyText"/>
      </w:pPr>
      <w:r>
        <w:t xml:space="preserve">Union of Myanmar, Yangon Region</w:t>
      </w:r>
    </w:p>
    <w:p>
      <w:pPr>
        <w:pStyle w:val="BodyText"/>
      </w:pPr>
      <w:r>
        <w:t xml:space="preserve">Court Level</w:t>
      </w:r>
    </w:p>
    <w:p>
      <w:pPr>
        <w:pStyle w:val="BodyText"/>
      </w:pPr>
      <w:r>
        <w:t xml:space="preserve">District Court / High Court</w:t>
      </w:r>
    </w:p>
    <w:p>
      <w:pPr>
        <w:pStyle w:val="BodyText"/>
      </w:pPr>
      <w:r>
        <w:t xml:space="preserve">Review Period</w:t>
      </w:r>
    </w:p>
    <w:p>
      <w:pPr>
        <w:pStyle w:val="BodyText"/>
      </w:pPr>
      <w:r>
        <w:t xml:space="preserve">January 1, 2024 – December 31, 2024</w:t>
      </w:r>
    </w:p>
    <w:p>
      <w:pPr>
        <w:pStyle w:val="BodyText"/>
      </w:pPr>
      <w:r>
        <w:t xml:space="preserve">Review Committee</w:t>
      </w:r>
    </w:p>
    <w:p>
      <w:pPr>
        <w:pStyle w:val="BodyText"/>
      </w:pPr>
      <w:r>
        <w:t xml:space="preserve">Yangon Judicial Peer Review Board</w:t>
      </w:r>
    </w:p>
    <w:p>
      <w:pPr>
        <w:pStyle w:val="BodyText"/>
      </w:pPr>
      <w:r>
        <w:t xml:space="preserve">Date of Report</w:t>
      </w:r>
    </w:p>
    <w:p>
      <w:pPr>
        <w:pStyle w:val="BodyText"/>
      </w:pPr>
      <w:r>
        <w:t xml:space="preserve">January 15, 2025</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legal acumen, and administrative efficiency of the Judge under review. The assessment focuses specifically on the judicial environment within Yangon, the commercial and legal capital of Myanmar. Given the high volume of litigation and the complex socio-legal landscape in Yangon, the role of the Judge is pivotal in maintaining public trust in the judiciary. This report analyzes the Judge's performance against established standards of judicial ethics, procedural fairness, and case management.</w:t>
      </w:r>
    </w:p>
    <w:bookmarkEnd w:id="20"/>
    <w:bookmarkStart w:id="21" w:name="introduction-and-context"/>
    <w:p>
      <w:pPr>
        <w:pStyle w:val="Heading2"/>
      </w:pPr>
      <w:r>
        <w:t xml:space="preserve">2. Introduction and Context</w:t>
      </w:r>
    </w:p>
    <w:p>
      <w:pPr>
        <w:pStyle w:val="FirstParagraph"/>
      </w:pPr>
      <w:r>
        <w:t xml:space="preserve">The judicial system in Myanmar, particularly within the Yangon region, faces unique challenges including a backlog of cases, evolving legal frameworks, and the need for consistent application of the law. The purpose of this peer review is not merely punitive but developmental. It aims to ensure that the Judge maintains the highest standards of integrity and competence. The review process involved the examination of case files, observation of court proceedings, and confidential feedback from legal practitioners and court staff operating within the Yangon jurisdiction.</w:t>
      </w:r>
    </w:p>
    <w:bookmarkEnd w:id="21"/>
    <w:bookmarkStart w:id="22" w:name="X41104c4785735a2b506e20feea01aa36516a692"/>
    <w:p>
      <w:pPr>
        <w:pStyle w:val="Heading2"/>
      </w:pPr>
      <w:r>
        <w:t xml:space="preserve">3. Evaluation of Legal Competence and Reasoning</w:t>
      </w:r>
    </w:p>
    <w:p>
      <w:pPr>
        <w:pStyle w:val="FirstParagraph"/>
      </w:pPr>
      <w:r>
        <w:t xml:space="preserve">A primary criterion for this Peer Review Report is the Judge's mastery of substantive and procedural law. The review indicates that the Judge demonstrates a robust understanding of the Myanmar Penal Code, the Civil Procedure Code, and relevant commercial statutes applicable in Yangon.</w:t>
      </w:r>
    </w:p>
    <w:p>
      <w:pPr>
        <w:numPr>
          <w:ilvl w:val="0"/>
          <w:numId w:val="1001"/>
        </w:numPr>
        <w:pStyle w:val="Compact"/>
      </w:pPr>
      <w:r>
        <w:rPr>
          <w:bCs/>
          <w:b/>
        </w:rPr>
        <w:t xml:space="preserve">Application of Law:</w:t>
      </w:r>
      <w:r>
        <w:t xml:space="preserve"> </w:t>
      </w:r>
      <w:r>
        <w:t xml:space="preserve">The Judge consistently applies legal precedents accurately. In complex commercial disputes common in Yangon, the reasoning provided in written judgments is logical, well-structured, and grounded in statutory interpretation.</w:t>
      </w:r>
    </w:p>
    <w:p>
      <w:pPr>
        <w:numPr>
          <w:ilvl w:val="0"/>
          <w:numId w:val="1001"/>
        </w:numPr>
        <w:pStyle w:val="Compact"/>
      </w:pPr>
      <w:r>
        <w:rPr>
          <w:bCs/>
          <w:b/>
        </w:rPr>
        <w:t xml:space="preserve">Clarity of Judgments:</w:t>
      </w:r>
      <w:r>
        <w:t xml:space="preserve"> </w:t>
      </w:r>
      <w:r>
        <w:t xml:space="preserve">The written orders and judgments are clear and concise, reducing the likelihood of ambiguity and subsequent appeals based on misinterpretation.</w:t>
      </w:r>
    </w:p>
    <w:p>
      <w:pPr>
        <w:numPr>
          <w:ilvl w:val="0"/>
          <w:numId w:val="1001"/>
        </w:numPr>
        <w:pStyle w:val="Compact"/>
      </w:pPr>
      <w:r>
        <w:rPr>
          <w:bCs/>
          <w:b/>
        </w:rPr>
        <w:t xml:space="preserve">Adaptability:</w:t>
      </w:r>
      <w:r>
        <w:t xml:space="preserve"> </w:t>
      </w:r>
      <w:r>
        <w:t xml:space="preserve">The Judge has shown an ability to navigate recent legal amendments, ensuring that rulings in Yangon courts remain current and legally sound.</w:t>
      </w:r>
    </w:p>
    <w:bookmarkEnd w:id="22"/>
    <w:bookmarkStart w:id="23" w:name="judicial-conduct-and-impartiality"/>
    <w:p>
      <w:pPr>
        <w:pStyle w:val="Heading2"/>
      </w:pPr>
      <w:r>
        <w:t xml:space="preserve">4. Judicial Conduct and Impartiality</w:t>
      </w:r>
    </w:p>
    <w:p>
      <w:pPr>
        <w:pStyle w:val="FirstParagraph"/>
      </w:pPr>
      <w:r>
        <w:t xml:space="preserve">Impartiality is the cornerstone of the judiciary. This report assesses whether the Judge maintains neutrality and avoids bias, which is critical in a diverse urban center like Yangon.</w:t>
      </w:r>
    </w:p>
    <w:p>
      <w:pPr>
        <w:numPr>
          <w:ilvl w:val="0"/>
          <w:numId w:val="1002"/>
        </w:numPr>
        <w:pStyle w:val="Compact"/>
      </w:pPr>
      <w:r>
        <w:rPr>
          <w:bCs/>
          <w:b/>
        </w:rPr>
        <w:t xml:space="preserve">Neutrality:</w:t>
      </w:r>
      <w:r>
        <w:t xml:space="preserve"> </w:t>
      </w:r>
      <w:r>
        <w:t xml:space="preserve">Observations of court proceedings reveal that the Judge treats all parties—prosecution, defense, plaintiffs, and defendants—with equal respect. There is no evidence of favoritism or prejudice based on social status, ethnicity, or political affiliation.</w:t>
      </w:r>
    </w:p>
    <w:p>
      <w:pPr>
        <w:numPr>
          <w:ilvl w:val="0"/>
          <w:numId w:val="1002"/>
        </w:numPr>
        <w:pStyle w:val="Compact"/>
      </w:pPr>
      <w:r>
        <w:rPr>
          <w:bCs/>
          <w:b/>
        </w:rPr>
        <w:t xml:space="preserve">Ex Parte Communications:</w:t>
      </w:r>
      <w:r>
        <w:t xml:space="preserve"> </w:t>
      </w:r>
      <w:r>
        <w:t xml:space="preserve">The Judge strictly adheres to protocols regarding ex parte communications, ensuring that no party gains an unfair advantage outside the courtroom.</w:t>
      </w:r>
    </w:p>
    <w:p>
      <w:pPr>
        <w:numPr>
          <w:ilvl w:val="0"/>
          <w:numId w:val="1002"/>
        </w:numPr>
        <w:pStyle w:val="Compact"/>
      </w:pPr>
      <w:r>
        <w:rPr>
          <w:bCs/>
          <w:b/>
        </w:rPr>
        <w:t xml:space="preserve">Professional Demeanor:</w:t>
      </w:r>
      <w:r>
        <w:t xml:space="preserve"> </w:t>
      </w:r>
      <w:r>
        <w:t xml:space="preserve">The Judge maintains a composed and authoritative demeanor, effectively managing courtroom decorum and ensuring that proceedings in Yangon courts are conducted with dignity.</w:t>
      </w:r>
    </w:p>
    <w:bookmarkEnd w:id="23"/>
    <w:bookmarkStart w:id="24" w:name="case-management-and-efficiency"/>
    <w:p>
      <w:pPr>
        <w:pStyle w:val="Heading2"/>
      </w:pPr>
      <w:r>
        <w:t xml:space="preserve">5. Case Management and Efficiency</w:t>
      </w:r>
    </w:p>
    <w:p>
      <w:pPr>
        <w:pStyle w:val="FirstParagraph"/>
      </w:pPr>
      <w:r>
        <w:t xml:space="preserve">Given the high caseload in Yangon, efficient case management is essential to prevent undue delays in justice. This section of the Peer Review Report evaluates the Judge's administrative capabilities.</w:t>
      </w:r>
    </w:p>
    <w:p>
      <w:pPr>
        <w:numPr>
          <w:ilvl w:val="0"/>
          <w:numId w:val="1003"/>
        </w:numPr>
        <w:pStyle w:val="Compact"/>
      </w:pPr>
      <w:r>
        <w:rPr>
          <w:bCs/>
          <w:b/>
        </w:rPr>
        <w:t xml:space="preserve">Timeliness:</w:t>
      </w:r>
      <w:r>
        <w:t xml:space="preserve"> </w:t>
      </w:r>
      <w:r>
        <w:t xml:space="preserve">The Judge has demonstrated commendable efficiency in scheduling hearings and delivering judgments. The average time taken to dispose of cases within the assigned docket is within acceptable limits for the region.</w:t>
      </w:r>
    </w:p>
    <w:p>
      <w:pPr>
        <w:numPr>
          <w:ilvl w:val="0"/>
          <w:numId w:val="1003"/>
        </w:numPr>
        <w:pStyle w:val="Compact"/>
      </w:pPr>
      <w:r>
        <w:rPr>
          <w:bCs/>
          <w:b/>
        </w:rPr>
        <w:t xml:space="preserve">Procedural Adherence:</w:t>
      </w:r>
      <w:r>
        <w:t xml:space="preserve"> </w:t>
      </w:r>
      <w:r>
        <w:t xml:space="preserve">The Judge ensures that procedural rules are followed strictly, minimizing adjournments caused by lack of preparation by legal counsel.</w:t>
      </w:r>
    </w:p>
    <w:p>
      <w:pPr>
        <w:numPr>
          <w:ilvl w:val="0"/>
          <w:numId w:val="1003"/>
        </w:numPr>
        <w:pStyle w:val="Compact"/>
      </w:pPr>
      <w:r>
        <w:rPr>
          <w:bCs/>
          <w:b/>
        </w:rPr>
        <w:t xml:space="preserve">Resource Management:</w:t>
      </w:r>
      <w:r>
        <w:t xml:space="preserve"> </w:t>
      </w:r>
      <w:r>
        <w:t xml:space="preserve">The Judge effectively utilizes court resources and staff, ensuring that the administrative workflow supports the judicial process without bottlenecks.</w:t>
      </w:r>
    </w:p>
    <w:bookmarkEnd w:id="24"/>
    <w:bookmarkStart w:id="25" w:name="X7fce3f6d2fe7450a8abc753ef43d176e3e721d0"/>
    <w:p>
      <w:pPr>
        <w:pStyle w:val="Heading2"/>
      </w:pPr>
      <w:r>
        <w:t xml:space="preserve">6. Interaction with Legal Practitioners and Court Staff</w:t>
      </w:r>
    </w:p>
    <w:p>
      <w:pPr>
        <w:pStyle w:val="FirstParagraph"/>
      </w:pPr>
      <w:r>
        <w:t xml:space="preserve">The relationship between the Judge and the legal community in Yangon is vital for the smooth functioning of the courts. Feedback collected during this review highlights the following:</w:t>
      </w:r>
    </w:p>
    <w:p>
      <w:pPr>
        <w:numPr>
          <w:ilvl w:val="0"/>
          <w:numId w:val="1004"/>
        </w:numPr>
        <w:pStyle w:val="Compact"/>
      </w:pPr>
      <w:r>
        <w:rPr>
          <w:bCs/>
          <w:b/>
        </w:rPr>
        <w:t xml:space="preserve">Respect for Counsel:</w:t>
      </w:r>
      <w:r>
        <w:t xml:space="preserve"> </w:t>
      </w:r>
      <w:r>
        <w:t xml:space="preserve">The Judge allows legal practitioners adequate time to present their arguments and respects their professional role. Interactions are professional and free from undue hostility.</w:t>
      </w:r>
    </w:p>
    <w:p>
      <w:pPr>
        <w:numPr>
          <w:ilvl w:val="0"/>
          <w:numId w:val="1004"/>
        </w:numPr>
        <w:pStyle w:val="Compact"/>
      </w:pPr>
      <w:r>
        <w:rPr>
          <w:bCs/>
          <w:b/>
        </w:rPr>
        <w:t xml:space="preserve">Staff Relations:</w:t>
      </w:r>
      <w:r>
        <w:t xml:space="preserve"> </w:t>
      </w:r>
      <w:r>
        <w:t xml:space="preserve">Court staff report a supportive working environment. The Judge provides clear instructions and treats clerks and bailiffs with respect, fostering a cooperative court atmosphere.</w:t>
      </w:r>
    </w:p>
    <w:bookmarkEnd w:id="25"/>
    <w:bookmarkStart w:id="26" w:name="areas-for-improvement"/>
    <w:p>
      <w:pPr>
        <w:pStyle w:val="Heading2"/>
      </w:pPr>
      <w:r>
        <w:t xml:space="preserve">7. Areas for Improvement</w:t>
      </w:r>
    </w:p>
    <w:p>
      <w:pPr>
        <w:pStyle w:val="FirstParagraph"/>
      </w:pPr>
      <w:r>
        <w:t xml:space="preserve">While the overall performance is satisfactory, this Peer Review Report identifies areas where the Judge may enhance their practice:</w:t>
      </w:r>
    </w:p>
    <w:p>
      <w:pPr>
        <w:numPr>
          <w:ilvl w:val="0"/>
          <w:numId w:val="1005"/>
        </w:numPr>
        <w:pStyle w:val="Compact"/>
      </w:pPr>
      <w:r>
        <w:rPr>
          <w:bCs/>
          <w:b/>
        </w:rPr>
        <w:t xml:space="preserve">Continuing Legal Education:</w:t>
      </w:r>
      <w:r>
        <w:t xml:space="preserve"> </w:t>
      </w:r>
      <w:r>
        <w:t xml:space="preserve">It is recommended that the Judge participate in more specialized training sessions regarding international commercial arbitration and digital evidence, areas of growing importance in Yangon's legal sector.</w:t>
      </w:r>
    </w:p>
    <w:p>
      <w:pPr>
        <w:numPr>
          <w:ilvl w:val="0"/>
          <w:numId w:val="1005"/>
        </w:numPr>
        <w:pStyle w:val="Compact"/>
      </w:pPr>
      <w:r>
        <w:rPr>
          <w:bCs/>
          <w:b/>
        </w:rPr>
        <w:t xml:space="preserve">Public Communication:</w:t>
      </w:r>
      <w:r>
        <w:t xml:space="preserve"> </w:t>
      </w:r>
      <w:r>
        <w:t xml:space="preserve">Enhancing the clarity of oral rulings for laypersons could further improve public understanding and trust in the judicial process.</w:t>
      </w:r>
    </w:p>
    <w:bookmarkEnd w:id="26"/>
    <w:bookmarkStart w:id="27" w:name="conclusion-and-recommendation"/>
    <w:p>
      <w:pPr>
        <w:pStyle w:val="Heading2"/>
      </w:pPr>
      <w:r>
        <w:t xml:space="preserve">8. Conclusion and Recommendation</w:t>
      </w:r>
    </w:p>
    <w:p>
      <w:pPr>
        <w:pStyle w:val="FirstParagraph"/>
      </w:pPr>
      <w:r>
        <w:t xml:space="preserve">Based on the comprehensive analysis conducted by the Yangon Judicial Peer Review Board, the Judge under review has demonstrated high levels of competence, integrity, and dedication. The Judge's contributions to the administration of justice in Myanmar Yangon are significant and align with the ethical standards expected of the judiciary.</w:t>
      </w:r>
    </w:p>
    <w:p>
      <w:pPr>
        <w:pStyle w:val="BodyText"/>
      </w:pPr>
      <w:r>
        <w:rPr>
          <w:bCs/>
          <w:b/>
        </w:rPr>
        <w:t xml:space="preserve">Recommendation:</w:t>
      </w:r>
      <w:r>
        <w:t xml:space="preserve"> </w:t>
      </w:r>
      <w:r>
        <w:t xml:space="preserve">The Peer Review Board recommends that the Judge be recognized for their satisfactory performance and encouraged to continue their professional development. No disciplinary action is warranted. This report serves as a formal record of the Judge's standing within the judicial system of Yangon.</w:t>
      </w:r>
    </w:p>
    <w:p>
      <w:pPr>
        <w:pStyle w:val="BodyText"/>
      </w:pPr>
      <w:r>
        <w:rPr>
          <w:bCs/>
          <w:b/>
        </w:rPr>
        <w:t xml:space="preserve">Chairperson</w:t>
      </w:r>
      <w:r>
        <w:br/>
      </w:r>
      <w:r>
        <w:t xml:space="preserve">Yangon Judicial Peer Review Board</w:t>
      </w:r>
    </w:p>
    <w:p>
      <w:pPr>
        <w:pStyle w:val="BodyText"/>
      </w:pPr>
      <w:r>
        <w:rPr>
          <w:bCs/>
          <w:b/>
        </w:rPr>
        <w:t xml:space="preserve">Senior Reviewer</w:t>
      </w:r>
      <w:r>
        <w:br/>
      </w:r>
      <w:r>
        <w:t xml:space="preserve">Judicial Ethics Committee</w:t>
      </w:r>
    </w:p>
    <w:p>
      <w:pPr>
        <w:pStyle w:val="BodyText"/>
      </w:pPr>
      <w:r>
        <w:t xml:space="preserve">Confidential Document - For Official Use Only</w:t>
      </w:r>
      <w:r>
        <w:br/>
      </w:r>
      <w:r>
        <w:t xml:space="preserve">Union of Myanmar - Yangon Region Judicial Administration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2026-10-10T03:13:13Z</dcterms:created>
  <dcterms:modified xsi:type="dcterms:W3CDTF">2026-10-10T03:13:13Z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