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Assessment</w:t>
      </w:r>
    </w:p>
    <w:bookmarkStart w:id="29" w:name="X064274ce211e25c97ba1a783b02c783fc1976d8"/>
    <w:p>
      <w:pPr>
        <w:pStyle w:val="Heading1"/>
      </w:pPr>
      <w:r>
        <w:t xml:space="preserve">Peer Review Report: Judicial Performance Assessment</w:t>
      </w:r>
    </w:p>
    <w:p>
      <w:pPr>
        <w:pStyle w:val="FirstParagraph"/>
      </w:pPr>
      <w:r>
        <w:rPr>
          <w:bCs/>
          <w:b/>
        </w:rPr>
        <w:t xml:space="preserve">Subject:</w:t>
      </w:r>
      <w:r>
        <w:t xml:space="preserve"> </w:t>
      </w:r>
      <w:r>
        <w:t xml:space="preserve">Evaluation of Judicial Conduct and Competence</w:t>
      </w:r>
      <w:r>
        <w:br/>
      </w:r>
      <w:r>
        <w:rPr>
          <w:bCs/>
          <w:b/>
        </w:rPr>
        <w:t xml:space="preserve">Role:</w:t>
      </w:r>
      <w:r>
        <w:t xml:space="preserve"> </w:t>
      </w:r>
      <w:r>
        <w:t xml:space="preserve">Judge (District Court Level)</w:t>
      </w:r>
      <w:r>
        <w:br/>
      </w:r>
      <w:r>
        <w:rPr>
          <w:bCs/>
          <w:b/>
        </w:rPr>
        <w:t xml:space="preserve">Location:</w:t>
      </w:r>
      <w:r>
        <w:t xml:space="preserve"> </w:t>
      </w:r>
      <w:r>
        <w:t xml:space="preserve">Netherlands Amsterdam (Rechtbank Amsterdam)</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1, 2023 – September 30, 2023</w:t>
      </w:r>
      <w:r>
        <w:br/>
      </w:r>
      <w:r>
        <w:rPr>
          <w:bCs/>
          <w:b/>
        </w:rPr>
        <w:t xml:space="preserve">Confidentiality:</w:t>
      </w:r>
      <w:r>
        <w:t xml:space="preserve"> </w:t>
      </w:r>
      <w:r>
        <w:t xml:space="preserve">Strictly Confidential</w:t>
      </w:r>
    </w:p>
    <w:bookmarkStart w:id="20" w:name="executive-summary"/>
    <w:p>
      <w:pPr>
        <w:pStyle w:val="Heading2"/>
      </w:pPr>
      <w:r>
        <w:t xml:space="preserve">1. Executive Summary</w:t>
      </w:r>
    </w:p>
    <w:p>
      <w:pPr>
        <w:pStyle w:val="FirstParagraph"/>
      </w:pPr>
      <w:r>
        <w:t xml:space="preserve">This Peer Review Report has been commissioned to evaluate the professional performance, ethical conduct, and judicial demeanor of a sitting Judge within the jurisdiction of the Rechtbank Amsterdam. As the primary judicial hub of the Netherlands, Amsterdam presents a complex legal environment characterized by high caseloads, diverse cultural dynamics, and significant international commercial litigation. The purpose of this review is to ensure that the Judge maintains the highest standards of integrity, impartiality, and efficiency required by the Dutch legal system.</w:t>
      </w:r>
    </w:p>
    <w:p>
      <w:pPr>
        <w:pStyle w:val="BodyText"/>
      </w:pPr>
      <w:r>
        <w:t xml:space="preserve">The assessment is based on a comprehensive analysis of court transcripts, case file management records, feedback from legal counsel, and direct observation of courtroom proceedings. The findings indicate that the Judge demonstrates a robust understanding of Dutch civil and criminal law, though specific areas regarding case management efficiency and cross-cultural communication require targeted professional development.</w:t>
      </w:r>
    </w:p>
    <w:bookmarkEnd w:id="20"/>
    <w:bookmarkStart w:id="21" w:name="X24d5d8a706837e06350727b4c97e47efa6e38f5"/>
    <w:p>
      <w:pPr>
        <w:pStyle w:val="Heading2"/>
      </w:pPr>
      <w:r>
        <w:t xml:space="preserve">2. Contextual Framework: The Amsterdam Jurisdiction</w:t>
      </w:r>
    </w:p>
    <w:p>
      <w:pPr>
        <w:pStyle w:val="FirstParagraph"/>
      </w:pPr>
      <w:r>
        <w:t xml:space="preserve">Evaluating a Judge in Amsterdam requires a nuanced understanding of the local context. The Rechtbank Amsterdam handles a disproportionately high volume of cases compared to other districts in the Netherlands. This includes complex corporate disputes, intellectual property cases, and immigration matters. Consequently, the expectations for a Judge in this region are elevated regarding speed of processing and adaptability to novel legal questions.</w:t>
      </w:r>
    </w:p>
    <w:p>
      <w:pPr>
        <w:pStyle w:val="BodyText"/>
      </w:pPr>
      <w:r>
        <w:t xml:space="preserve">Furthermore, Amsterdam is a multicultural metropolis. A Judge operating here must navigate cases involving parties from various linguistic and cultural backgrounds. The Peer Review Panel has assessed the Judge’s ability to ensure equal access to justice and to maintain courtroom decorum in a diverse environment. The review specifically looks at how the Judge applies the principles of the Dutch Code of Judicial Conduct (Gedragscode Rechter) within this specific urban setting.</w:t>
      </w:r>
    </w:p>
    <w:bookmarkEnd w:id="21"/>
    <w:bookmarkStart w:id="24" w:name="Xd82430a106f77050c9589984939b2647102bc67"/>
    <w:p>
      <w:pPr>
        <w:pStyle w:val="Heading2"/>
      </w:pPr>
      <w:r>
        <w:t xml:space="preserve">3. Assessment of Legal Competence and Reasoning</w:t>
      </w:r>
    </w:p>
    <w:bookmarkStart w:id="22" w:name="application-of-law"/>
    <w:p>
      <w:pPr>
        <w:pStyle w:val="Heading3"/>
      </w:pPr>
      <w:r>
        <w:t xml:space="preserve">3.1 Application of Law</w:t>
      </w:r>
    </w:p>
    <w:p>
      <w:pPr>
        <w:pStyle w:val="FirstParagraph"/>
      </w:pPr>
      <w:r>
        <w:t xml:space="preserve">The Judge exhibits a strong command of statutory law and case precedents. In the reviewed civil litigation files, the legal reasoning provided in the written judgments (vonnis) is thorough, well-structured, and logically sound. The Judge correctly interprets complex provisions of the Dutch Civil Code (Burgerlijk Wetboek) and applies them consistently. There were no instances of gross legal error identified during this review period.</w:t>
      </w:r>
    </w:p>
    <w:bookmarkEnd w:id="22"/>
    <w:bookmarkStart w:id="23" w:name="quality-of-judgments"/>
    <w:p>
      <w:pPr>
        <w:pStyle w:val="Heading3"/>
      </w:pPr>
      <w:r>
        <w:t xml:space="preserve">3.2 Quality of Judgments</w:t>
      </w:r>
    </w:p>
    <w:p>
      <w:pPr>
        <w:pStyle w:val="FirstParagraph"/>
      </w:pPr>
      <w:r>
        <w:t xml:space="preserve">The clarity of the written decisions is generally high. The Judge ensures that the "overwegingen" (considerations) section of the judgments adequately addresses the arguments presented by both the prosecution and defense, or plaintiff and defendant. This transparency is crucial for maintaining public trust in the judiciary in Amsterdam. However, in three instances involving complex commercial contracts, the reasoning was deemed slightly opaque, potentially increasing the likelihood of appeals.</w:t>
      </w:r>
    </w:p>
    <w:bookmarkEnd w:id="23"/>
    <w:bookmarkEnd w:id="24"/>
    <w:bookmarkStart w:id="25" w:name="X41d21c01b847cc3d1869d3e24eb8a3dcd3552f9"/>
    <w:p>
      <w:pPr>
        <w:pStyle w:val="Heading2"/>
      </w:pPr>
      <w:r>
        <w:t xml:space="preserve">4. Judicial Demeanor and Courtroom Management</w:t>
      </w:r>
    </w:p>
    <w:p>
      <w:pPr>
        <w:pStyle w:val="FirstParagraph"/>
      </w:pPr>
      <w:r>
        <w:t xml:space="preserve">A critical component of this Peer Review Report is the evaluation of the Judge’s behavior in the courtroom. The Judge is observed to be authoritative yet approachable, maintaining control over proceedings without being overly aggressive.</w:t>
      </w:r>
    </w:p>
    <w:p>
      <w:pPr>
        <w:numPr>
          <w:ilvl w:val="0"/>
          <w:numId w:val="1001"/>
        </w:numPr>
        <w:pStyle w:val="Compact"/>
      </w:pPr>
      <w:r>
        <w:rPr>
          <w:bCs/>
          <w:b/>
        </w:rPr>
        <w:t xml:space="preserve">Impartiality:</w:t>
      </w:r>
      <w:r>
        <w:t xml:space="preserve"> </w:t>
      </w:r>
      <w:r>
        <w:t xml:space="preserve">The Judge consistently demonstrates neutrality. There is no evidence of bias based on the background of the litigants. The Judge actively manages conflicts of interest in accordance with Dutch regulations.</w:t>
      </w:r>
    </w:p>
    <w:p>
      <w:pPr>
        <w:numPr>
          <w:ilvl w:val="0"/>
          <w:numId w:val="1001"/>
        </w:numPr>
        <w:pStyle w:val="Compact"/>
      </w:pPr>
      <w:r>
        <w:rPr>
          <w:bCs/>
          <w:b/>
        </w:rPr>
        <w:t xml:space="preserve">Respect for Parties:</w:t>
      </w:r>
      <w:r>
        <w:t xml:space="preserve"> </w:t>
      </w:r>
      <w:r>
        <w:t xml:space="preserve">The Judge treats lawyers, defendants, and witnesses with professional respect. In the context of Amsterdam’s busy criminal docket, the Judge ensures that defendants are given adequate opportunity to speak, even when time pressures are high.</w:t>
      </w:r>
    </w:p>
    <w:p>
      <w:pPr>
        <w:numPr>
          <w:ilvl w:val="0"/>
          <w:numId w:val="1001"/>
        </w:numPr>
        <w:pStyle w:val="Compact"/>
      </w:pPr>
      <w:r>
        <w:rPr>
          <w:bCs/>
          <w:b/>
        </w:rPr>
        <w:t xml:space="preserve">Efficiency:</w:t>
      </w:r>
      <w:r>
        <w:t xml:space="preserve"> </w:t>
      </w:r>
      <w:r>
        <w:t xml:space="preserve">While the Judge is diligent, the review notes a tendency to allow excessive procedural delays in civil hearings. In a high-volume court like Amsterdam, stricter time management is essential to prevent backlog accumulation.</w:t>
      </w:r>
    </w:p>
    <w:bookmarkEnd w:id="25"/>
    <w:bookmarkStart w:id="26" w:name="ethical-standards-and-integrity"/>
    <w:p>
      <w:pPr>
        <w:pStyle w:val="Heading2"/>
      </w:pPr>
      <w:r>
        <w:t xml:space="preserve">5. Ethical Standards and Integrity</w:t>
      </w:r>
    </w:p>
    <w:p>
      <w:pPr>
        <w:pStyle w:val="FirstParagraph"/>
      </w:pPr>
      <w:r>
        <w:t xml:space="preserve">Integrity is the cornerstone of the judicial role. This report confirms that the Judge adheres strictly to the ethical guidelines set forth by the Dutch Council for the Judiciary (Raad voor de Rechtspraak).</w:t>
      </w:r>
    </w:p>
    <w:p>
      <w:pPr>
        <w:pStyle w:val="BodyText"/>
      </w:pPr>
      <w:r>
        <w:t xml:space="preserve">The review examined the Judge’s external activities and social interactions. Given Amsterdam’s vibrant social scene, the risk of perceived impropriety is non-trivial. The Judge has successfully maintained appropriate boundaries, avoiding any associations that could compromise their independence or the appearance of independence. No complaints regarding ethical breaches were filed during the review period.</w:t>
      </w:r>
    </w:p>
    <w:bookmarkEnd w:id="26"/>
    <w:bookmarkStart w:id="27" w:name="X2505c1a0023529382629b60d8e35fc2b9eaee81"/>
    <w:p>
      <w:pPr>
        <w:pStyle w:val="Heading2"/>
      </w:pPr>
      <w:r>
        <w:t xml:space="preserve">6. Recommendations for Professional Development</w:t>
      </w:r>
    </w:p>
    <w:p>
      <w:pPr>
        <w:pStyle w:val="FirstParagraph"/>
      </w:pPr>
      <w:r>
        <w:t xml:space="preserve">Based on the findings of this Peer Review Report, the following recommendations are made to enhance the Judge’s performance within the Amsterdam jurisdiction:</w:t>
      </w:r>
    </w:p>
    <w:p>
      <w:pPr>
        <w:numPr>
          <w:ilvl w:val="0"/>
          <w:numId w:val="1002"/>
        </w:numPr>
        <w:pStyle w:val="Compact"/>
      </w:pPr>
      <w:r>
        <w:rPr>
          <w:bCs/>
          <w:b/>
        </w:rPr>
        <w:t xml:space="preserve">Case Management Training:</w:t>
      </w:r>
      <w:r>
        <w:t xml:space="preserve"> </w:t>
      </w:r>
      <w:r>
        <w:t xml:space="preserve">The Judge should participate in advanced workshops on efficient case management to reduce the duration of civil proceedings.</w:t>
      </w:r>
    </w:p>
    <w:p>
      <w:pPr>
        <w:numPr>
          <w:ilvl w:val="0"/>
          <w:numId w:val="1002"/>
        </w:numPr>
        <w:pStyle w:val="Compact"/>
      </w:pPr>
      <w:r>
        <w:rPr>
          <w:bCs/>
          <w:b/>
        </w:rPr>
        <w:t xml:space="preserve">Cultural Competency:</w:t>
      </w:r>
      <w:r>
        <w:t xml:space="preserve"> </w:t>
      </w:r>
      <w:r>
        <w:t xml:space="preserve">While generally good, further training on intercultural communication would benefit the Judge when presiding over cases involving non-Dutch speaking parties, ensuring full comprehension and fairness.</w:t>
      </w:r>
    </w:p>
    <w:p>
      <w:pPr>
        <w:numPr>
          <w:ilvl w:val="0"/>
          <w:numId w:val="1002"/>
        </w:numPr>
        <w:pStyle w:val="Compact"/>
      </w:pPr>
      <w:r>
        <w:rPr>
          <w:bCs/>
          <w:b/>
        </w:rPr>
        <w:t xml:space="preserve">Clarity in Commercial Law:</w:t>
      </w:r>
      <w:r>
        <w:t xml:space="preserve"> </w:t>
      </w:r>
      <w:r>
        <w:t xml:space="preserve">The Judge is advised to seek mentorship from senior judges in the Commercial Division to refine the clarity of reasoning in complex financial disputes.</w:t>
      </w:r>
    </w:p>
    <w:bookmarkEnd w:id="27"/>
    <w:bookmarkStart w:id="28" w:name="conclusion"/>
    <w:p>
      <w:pPr>
        <w:pStyle w:val="Heading2"/>
      </w:pPr>
      <w:r>
        <w:t xml:space="preserve">7. Conclusion</w:t>
      </w:r>
    </w:p>
    <w:p>
      <w:pPr>
        <w:pStyle w:val="FirstParagraph"/>
      </w:pPr>
      <w:r>
        <w:t xml:space="preserve">In conclusion, this Peer Review Report affirms that the Judge is a competent and ethical officer of the court, well-suited to the demands of the Rechtbank Amsterdam. The Judge upholds the rule of law and contributes positively to the administration of justice in the Netherlands. By addressing the minor areas of improvement identified regarding efficiency and clarity, the Judge will further strengthen their standing as a pillar of the Amsterdam judicial system.</w:t>
      </w:r>
    </w:p>
    <w:p>
      <w:pPr>
        <w:pStyle w:val="BodyText"/>
      </w:pPr>
      <w:r>
        <w:rPr>
          <w:bCs/>
          <w:b/>
        </w:rPr>
        <w:t xml:space="preserve">Lead Reviewer:</w:t>
      </w:r>
      <w:r>
        <w:br/>
      </w:r>
      <w:r>
        <w:t xml:space="preserve">Senior Justice Peer</w:t>
      </w:r>
      <w:r>
        <w:br/>
      </w:r>
    </w:p>
    <w:p>
      <w:pPr>
        <w:pStyle w:val="BodyText"/>
      </w:pPr>
      <w:r>
        <w:t xml:space="preserve">Signature</w:t>
      </w:r>
    </w:p>
    <w:p>
      <w:pPr>
        <w:pStyle w:val="BodyText"/>
      </w:pPr>
      <w:r>
        <w:rPr>
          <w:bCs/>
          <w:b/>
        </w:rPr>
        <w:t xml:space="preserve">Reviewed By:</w:t>
      </w:r>
      <w:r>
        <w:br/>
      </w:r>
      <w:r>
        <w:t xml:space="preserve">Judicial Council Oversight</w:t>
      </w:r>
      <w:r>
        <w:br/>
      </w:r>
    </w:p>
    <w:p>
      <w:pPr>
        <w:pStyle w:val="BodyText"/>
      </w:pPr>
      <w:r>
        <w:t xml:space="preserve">Signature</w:t>
      </w:r>
    </w:p>
    <w:p>
      <w:pPr>
        <w:pStyle w:val="BodyText"/>
      </w:pPr>
      <w:r>
        <w:t xml:space="preserve">This document is an official Peer Review Report generated for internal judicial evaluation purposes within the Netherlands Amsterdam jurisdiction. Unauthorized distribution is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Assessment</dc:title>
  <dc:creator/>
  <dc:language>en</dc:language>
  <cp:keywords/>
  <dcterms:created xsi:type="dcterms:W3CDTF">2026-10-10T07:02:56Z</dcterms:created>
  <dcterms:modified xsi:type="dcterms:W3CDTF">2026-10-10T07:02:56Z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