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Doha,</w:t>
      </w:r>
      <w:r>
        <w:t xml:space="preserve"> </w:t>
      </w:r>
      <w:r>
        <w:t xml:space="preserve">Qatar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r>
        <w:t xml:space="preserve"> </w:t>
      </w:r>
      <w:r>
        <w:rPr>
          <w:bCs/>
          <w:b/>
        </w:rPr>
        <w:t xml:space="preserve">Location:</w:t>
      </w:r>
      <w:r>
        <w:t xml:space="preserve"> </w:t>
      </w:r>
      <w:r>
        <w:t xml:space="preserve">Doha, Qatar</w:t>
      </w:r>
    </w:p>
    <w:p>
      <w:pPr>
        <w:pStyle w:val="BodyText"/>
      </w:pPr>
      <w:r>
        <w:rPr>
          <w:bCs/>
          <w:b/>
        </w:rPr>
        <w:t xml:space="preserve">Date:</w:t>
      </w:r>
      <w:r>
        <w:t xml:space="preserve"> </w:t>
      </w:r>
      <w:r>
        <w:t xml:space="preserve">October 24, 2023</w:t>
      </w:r>
      <w:r>
        <w:t xml:space="preserve"> </w:t>
      </w:r>
      <w:r>
        <w:rPr>
          <w:bCs/>
          <w:b/>
        </w:rPr>
        <w:t xml:space="preserve">Reference ID:</w:t>
      </w:r>
      <w:r>
        <w:t xml:space="preserve"> </w:t>
      </w:r>
      <w:r>
        <w:t xml:space="preserve">QD-JUD-PR-2023-089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legal acumen, and procedural adherence of a senior</w:t>
      </w:r>
      <w:r>
        <w:t xml:space="preserve"> </w:t>
      </w:r>
      <w:r>
        <w:rPr>
          <w:bCs/>
          <w:b/>
        </w:rPr>
        <w:t xml:space="preserve">Judge</w:t>
      </w:r>
      <w:r>
        <w:t xml:space="preserve"> </w:t>
      </w:r>
      <w:r>
        <w:t xml:space="preserve">currently serving within the judicial system of</w:t>
      </w:r>
      <w:r>
        <w:t xml:space="preserve"> </w:t>
      </w:r>
      <w:r>
        <w:rPr>
          <w:bCs/>
          <w:b/>
        </w:rPr>
        <w:t xml:space="preserve">Qatar Doha</w:t>
      </w:r>
      <w:r>
        <w:t xml:space="preserve">. The review process was conducted in strict accordance with the standards set forth by the Supreme Judicial Council of Qatar. The primary objective of this assessment is to ensure that the judiciary maintains the highest levels of integrity, efficiency, and impartiality, reflecting the nation's commitment to the rule of law and its strategic vision for legal excellence.</w:t>
      </w:r>
    </w:p>
    <w:p>
      <w:pPr>
        <w:pStyle w:val="BodyText"/>
      </w:pPr>
      <w:r>
        <w:t xml:space="preserve">The evaluation focuses on the</w:t>
      </w:r>
      <w:r>
        <w:t xml:space="preserve"> </w:t>
      </w:r>
      <w:r>
        <w:rPr>
          <w:bCs/>
          <w:b/>
        </w:rPr>
        <w:t xml:space="preserve">Judge</w:t>
      </w:r>
      <w:r>
        <w:t xml:space="preserve">'s performance over the preceding twelve months, analyzing case management, legal reasoning, courtroom demeanor, and adherence to the specific cultural and legal frameworks governing</w:t>
      </w:r>
      <w:r>
        <w:t xml:space="preserve"> </w:t>
      </w:r>
      <w:r>
        <w:rPr>
          <w:bCs/>
          <w:b/>
        </w:rPr>
        <w:t xml:space="preserve">Qatar Doha</w:t>
      </w:r>
      <w:r>
        <w:t xml:space="preserve">. The findings presented herein are based on a comprehensive review of case files, observations of court proceedings, and confidential feedback from legal practitioners and peers.</w:t>
      </w:r>
    </w:p>
    <w:bookmarkEnd w:id="21"/>
    <w:bookmarkStart w:id="22" w:name="context-and-methodology"/>
    <w:p>
      <w:pPr>
        <w:pStyle w:val="Heading2"/>
      </w:pPr>
      <w:r>
        <w:t xml:space="preserve">2. Context and Methodology</w:t>
      </w:r>
    </w:p>
    <w:p>
      <w:pPr>
        <w:pStyle w:val="FirstParagraph"/>
      </w:pPr>
      <w:r>
        <w:t xml:space="preserve">The judicial landscape in</w:t>
      </w:r>
      <w:r>
        <w:t xml:space="preserve"> </w:t>
      </w:r>
      <w:r>
        <w:rPr>
          <w:bCs/>
          <w:b/>
        </w:rPr>
        <w:t xml:space="preserve">Qatar Doha</w:t>
      </w:r>
      <w:r>
        <w:t xml:space="preserve"> </w:t>
      </w:r>
      <w:r>
        <w:t xml:space="preserve">is characterized by a sophisticated blend of civil law traditions and Sharia principles. Consequently, a</w:t>
      </w:r>
      <w:r>
        <w:t xml:space="preserve"> </w:t>
      </w:r>
      <w:r>
        <w:rPr>
          <w:bCs/>
          <w:b/>
        </w:rPr>
        <w:t xml:space="preserve">Judge</w:t>
      </w:r>
      <w:r>
        <w:t xml:space="preserve"> </w:t>
      </w:r>
      <w:r>
        <w:t xml:space="preserve">operating in this jurisdiction must possess not only a deep understanding of statutory law but also a nuanced appreciation of Islamic jurisprudence and local customs. This</w:t>
      </w:r>
      <w:r>
        <w:t xml:space="preserve"> </w:t>
      </w:r>
      <w:r>
        <w:rPr>
          <w:bCs/>
          <w:b/>
        </w:rPr>
        <w:t xml:space="preserve">Peer Review Report</w:t>
      </w:r>
      <w:r>
        <w:t xml:space="preserve"> </w:t>
      </w:r>
      <w:r>
        <w:t xml:space="preserve">was designed to assess the subject's ability to navigate this complex legal environment effectively.</w:t>
      </w:r>
    </w:p>
    <w:p>
      <w:pPr>
        <w:pStyle w:val="BodyText"/>
      </w:pPr>
      <w:r>
        <w:t xml:space="preserve">The methodology employed for this review included:</w:t>
      </w:r>
    </w:p>
    <w:p>
      <w:pPr>
        <w:numPr>
          <w:ilvl w:val="0"/>
          <w:numId w:val="1001"/>
        </w:numPr>
        <w:pStyle w:val="Compact"/>
      </w:pPr>
      <w:r>
        <w:rPr>
          <w:bCs/>
          <w:b/>
        </w:rPr>
        <w:t xml:space="preserve">Case File Analysis:</w:t>
      </w:r>
      <w:r>
        <w:t xml:space="preserve"> </w:t>
      </w:r>
      <w:r>
        <w:t xml:space="preserve">A random sampling of 50 civil and commercial cases adjudicated by the</w:t>
      </w:r>
      <w:r>
        <w:t xml:space="preserve"> </w:t>
      </w:r>
      <w:r>
        <w:rPr>
          <w:bCs/>
          <w:b/>
        </w:rPr>
        <w:t xml:space="preserve">Judge</w:t>
      </w:r>
      <w:r>
        <w:t xml:space="preserve"> </w:t>
      </w:r>
      <w:r>
        <w:t xml:space="preserve">in the Doha courts.</w:t>
      </w:r>
    </w:p>
    <w:p>
      <w:pPr>
        <w:numPr>
          <w:ilvl w:val="0"/>
          <w:numId w:val="1001"/>
        </w:numPr>
        <w:pStyle w:val="Compact"/>
      </w:pPr>
      <w:r>
        <w:rPr>
          <w:bCs/>
          <w:b/>
        </w:rPr>
        <w:t xml:space="preserve">Direct Observation:</w:t>
      </w:r>
      <w:r>
        <w:t xml:space="preserve"> </w:t>
      </w:r>
      <w:r>
        <w:t xml:space="preserve">Attendance at ten live court sessions to evaluate courtroom management and interaction with litigants.</w:t>
      </w:r>
    </w:p>
    <w:p>
      <w:pPr>
        <w:numPr>
          <w:ilvl w:val="0"/>
          <w:numId w:val="1001"/>
        </w:numPr>
        <w:pStyle w:val="Compact"/>
      </w:pPr>
      <w:r>
        <w:rPr>
          <w:bCs/>
          <w:b/>
        </w:rPr>
        <w:t xml:space="preserve">Stakeholder Interviews:</w:t>
      </w:r>
      <w:r>
        <w:t xml:space="preserve"> </w:t>
      </w:r>
      <w:r>
        <w:t xml:space="preserve">Confidential consultations with senior advocates and fellow judges practicing in</w:t>
      </w:r>
      <w:r>
        <w:t xml:space="preserve"> </w:t>
      </w:r>
      <w:r>
        <w:rPr>
          <w:bCs/>
          <w:b/>
        </w:rPr>
        <w:t xml:space="preserve">Qatar Doha</w:t>
      </w:r>
      <w:r>
        <w:t xml:space="preserve">.</w:t>
      </w:r>
    </w:p>
    <w:p>
      <w:pPr>
        <w:pStyle w:val="FirstParagraph"/>
      </w:pPr>
      <w:r>
        <w:t xml:space="preserve">This multi-faceted approach ensures that the</w:t>
      </w:r>
      <w:r>
        <w:t xml:space="preserve"> </w:t>
      </w:r>
      <w:r>
        <w:rPr>
          <w:bCs/>
          <w:b/>
        </w:rPr>
        <w:t xml:space="preserve">Peer Review Report</w:t>
      </w:r>
      <w:r>
        <w:t xml:space="preserve"> </w:t>
      </w:r>
      <w:r>
        <w:t xml:space="preserve">provides a holistic view of the</w:t>
      </w:r>
      <w:r>
        <w:t xml:space="preserve"> </w:t>
      </w:r>
      <w:r>
        <w:rPr>
          <w:bCs/>
          <w:b/>
        </w:rPr>
        <w:t xml:space="preserve">Judge</w:t>
      </w:r>
      <w:r>
        <w:t xml:space="preserve">'s capabilities, moving beyond mere quantitative metrics to assess qualitative aspects of judicial performance.</w:t>
      </w:r>
    </w:p>
    <w:bookmarkEnd w:id="22"/>
    <w:bookmarkStart w:id="23" w:name="Xd82430a106f77050c9589984939b2647102bc67"/>
    <w:p>
      <w:pPr>
        <w:pStyle w:val="Heading2"/>
      </w:pPr>
      <w:r>
        <w:t xml:space="preserve">3. Assessment of Legal Competence and Reasoning</w:t>
      </w:r>
    </w:p>
    <w:p>
      <w:pPr>
        <w:pStyle w:val="FirstParagraph"/>
      </w:pPr>
      <w:r>
        <w:t xml:space="preserve">The</w:t>
      </w:r>
      <w:r>
        <w:t xml:space="preserve"> </w:t>
      </w:r>
      <w:r>
        <w:rPr>
          <w:bCs/>
          <w:b/>
        </w:rPr>
        <w:t xml:space="preserve">Judge</w:t>
      </w:r>
      <w:r>
        <w:t xml:space="preserve"> </w:t>
      </w:r>
      <w:r>
        <w:t xml:space="preserve">demonstrates a robust command of the legal statutes applicable in</w:t>
      </w:r>
      <w:r>
        <w:t xml:space="preserve"> </w:t>
      </w:r>
      <w:r>
        <w:rPr>
          <w:bCs/>
          <w:b/>
        </w:rPr>
        <w:t xml:space="preserve">Qatar Doha</w:t>
      </w:r>
      <w:r>
        <w:t xml:space="preserve">. The analysis of written judgments reveals a consistent ability to apply complex legal principles to factual scenarios with clarity and precision. The</w:t>
      </w:r>
      <w:r>
        <w:t xml:space="preserve"> </w:t>
      </w:r>
      <w:r>
        <w:rPr>
          <w:bCs/>
          <w:b/>
        </w:rPr>
        <w:t xml:space="preserve">Judge</w:t>
      </w:r>
      <w:r>
        <w:t xml:space="preserve"> </w:t>
      </w:r>
      <w:r>
        <w:t xml:space="preserve">exhibits a strong capacity to synthesize conflicting evidence and derive logical conclusions that are well-supported by precedent and statutory interpretation.</w:t>
      </w:r>
    </w:p>
    <w:p>
      <w:pPr>
        <w:pStyle w:val="BodyText"/>
      </w:pPr>
      <w:r>
        <w:t xml:space="preserve">Notably, the</w:t>
      </w:r>
      <w:r>
        <w:t xml:space="preserve"> </w:t>
      </w:r>
      <w:r>
        <w:rPr>
          <w:bCs/>
          <w:b/>
        </w:rPr>
        <w:t xml:space="preserve">Judge</w:t>
      </w:r>
      <w:r>
        <w:t xml:space="preserve"> </w:t>
      </w:r>
      <w:r>
        <w:t xml:space="preserve">has shown particular proficiency in commercial law matters, a critical area for the economic development of</w:t>
      </w:r>
      <w:r>
        <w:t xml:space="preserve"> </w:t>
      </w:r>
      <w:r>
        <w:rPr>
          <w:bCs/>
          <w:b/>
        </w:rPr>
        <w:t xml:space="preserve">Qatar Doha</w:t>
      </w:r>
      <w:r>
        <w:t xml:space="preserve">. The reasoning provided in these judgments is thorough, addressing all material arguments presented by the parties. This level of detail enhances the transparency of the judicial process and reinforces public confidence in the courts of Qatar.</w:t>
      </w:r>
    </w:p>
    <w:p>
      <w:pPr>
        <w:pStyle w:val="BodyText"/>
      </w:pPr>
      <w:r>
        <w:rPr>
          <w:bCs/>
          <w:b/>
        </w:rPr>
        <w:t xml:space="preserve">Key Observation:</w:t>
      </w:r>
      <w:r>
        <w:t xml:space="preserve"> </w:t>
      </w:r>
      <w:r>
        <w:t xml:space="preserve">The</w:t>
      </w:r>
      <w:r>
        <w:t xml:space="preserve"> </w:t>
      </w:r>
      <w:r>
        <w:rPr>
          <w:bCs/>
          <w:b/>
        </w:rPr>
        <w:t xml:space="preserve">Judge</w:t>
      </w:r>
      <w:r>
        <w:t xml:space="preserve"> </w:t>
      </w:r>
      <w:r>
        <w:t xml:space="preserve">effectively balances the requirements of modern commercial law with the foundational principles of Sharia, ensuring that rulings are both legally sound and culturally appropriate for the jurisdiction of</w:t>
      </w:r>
      <w:r>
        <w:t xml:space="preserve"> </w:t>
      </w:r>
      <w:r>
        <w:rPr>
          <w:bCs/>
          <w:b/>
        </w:rPr>
        <w:t xml:space="preserve">Qatar Doha</w:t>
      </w:r>
      <w:r>
        <w:t xml:space="preserve">.</w:t>
      </w:r>
    </w:p>
    <w:bookmarkEnd w:id="23"/>
    <w:bookmarkStart w:id="24" w:name="courtroom-management-and-demeanor"/>
    <w:p>
      <w:pPr>
        <w:pStyle w:val="Heading2"/>
      </w:pPr>
      <w:r>
        <w:t xml:space="preserve">4. Courtroom Management and Demeanor</w:t>
      </w:r>
    </w:p>
    <w:p>
      <w:pPr>
        <w:pStyle w:val="FirstParagraph"/>
      </w:pPr>
      <w:r>
        <w:t xml:space="preserve">Effective courtroom management is essential for the efficient administration of justice. During the observed sessions in</w:t>
      </w:r>
      <w:r>
        <w:t xml:space="preserve"> </w:t>
      </w:r>
      <w:r>
        <w:rPr>
          <w:bCs/>
          <w:b/>
        </w:rPr>
        <w:t xml:space="preserve">Qatar Doha</w:t>
      </w:r>
      <w:r>
        <w:t xml:space="preserve">, the</w:t>
      </w:r>
      <w:r>
        <w:t xml:space="preserve"> </w:t>
      </w:r>
      <w:r>
        <w:rPr>
          <w:bCs/>
          <w:b/>
        </w:rPr>
        <w:t xml:space="preserve">Judge</w:t>
      </w:r>
      <w:r>
        <w:t xml:space="preserve"> </w:t>
      </w:r>
      <w:r>
        <w:t xml:space="preserve">maintained a professional, impartial, and authoritative demeanor. The</w:t>
      </w:r>
      <w:r>
        <w:t xml:space="preserve"> </w:t>
      </w:r>
      <w:r>
        <w:rPr>
          <w:bCs/>
          <w:b/>
        </w:rPr>
        <w:t xml:space="preserve">Judge</w:t>
      </w:r>
      <w:r>
        <w:t xml:space="preserve"> </w:t>
      </w:r>
      <w:r>
        <w:t xml:space="preserve">successfully controlled the proceedings, ensuring that hearings proceeded in an orderly fashion while allowing all parties adequate opportunity to present their cases.</w:t>
      </w:r>
    </w:p>
    <w:p>
      <w:pPr>
        <w:pStyle w:val="BodyText"/>
      </w:pPr>
      <w:r>
        <w:t xml:space="preserve">The</w:t>
      </w:r>
      <w:r>
        <w:t xml:space="preserve"> </w:t>
      </w:r>
      <w:r>
        <w:rPr>
          <w:bCs/>
          <w:b/>
        </w:rPr>
        <w:t xml:space="preserve">Judge</w:t>
      </w:r>
      <w:r>
        <w:t xml:space="preserve"> </w:t>
      </w:r>
      <w:r>
        <w:t xml:space="preserve">demonstrated patience and respect towards litigants, lawyers, and court staff. This approach is particularly important in</w:t>
      </w:r>
      <w:r>
        <w:t xml:space="preserve"> </w:t>
      </w:r>
      <w:r>
        <w:rPr>
          <w:bCs/>
          <w:b/>
        </w:rPr>
        <w:t xml:space="preserve">Qatar Doha</w:t>
      </w:r>
      <w:r>
        <w:t xml:space="preserve">, where the court system serves a diverse population. The</w:t>
      </w:r>
      <w:r>
        <w:t xml:space="preserve"> </w:t>
      </w:r>
      <w:r>
        <w:rPr>
          <w:bCs/>
          <w:b/>
        </w:rPr>
        <w:t xml:space="preserve">Judge</w:t>
      </w:r>
      <w:r>
        <w:t xml:space="preserve">'s ability to communicate clearly and remain composed under pressure contributes significantly to the dignity of the court. Furthermore, the</w:t>
      </w:r>
      <w:r>
        <w:t xml:space="preserve"> </w:t>
      </w:r>
      <w:r>
        <w:rPr>
          <w:bCs/>
          <w:b/>
        </w:rPr>
        <w:t xml:space="preserve">Judge</w:t>
      </w:r>
      <w:r>
        <w:t xml:space="preserve"> </w:t>
      </w:r>
      <w:r>
        <w:t xml:space="preserve">adhered strictly to procedural timelines, minimizing unnecessary delays and contributing to the overall efficiency of the judicial system.</w:t>
      </w:r>
    </w:p>
    <w:bookmarkEnd w:id="24"/>
    <w:bookmarkStart w:id="25" w:name="ethical-standards-and-integrity"/>
    <w:p>
      <w:pPr>
        <w:pStyle w:val="Heading2"/>
      </w:pPr>
      <w:r>
        <w:t xml:space="preserve">5. Ethical Standards and Integrity</w:t>
      </w:r>
    </w:p>
    <w:p>
      <w:pPr>
        <w:pStyle w:val="FirstParagraph"/>
      </w:pPr>
      <w:r>
        <w:t xml:space="preserve">Integrity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adheres to the highest ethical standards expected of judicial officers in Qatar. There were no instances of bias, favoritism, or impropriety identified during the review period. The</w:t>
      </w:r>
      <w:r>
        <w:t xml:space="preserve"> </w:t>
      </w:r>
      <w:r>
        <w:rPr>
          <w:bCs/>
          <w:b/>
        </w:rPr>
        <w:t xml:space="preserve">Judge</w:t>
      </w:r>
      <w:r>
        <w:t xml:space="preserve"> </w:t>
      </w:r>
      <w:r>
        <w:t xml:space="preserve">consistently recused themselves from cases where a conflict of interest might be perceived, demonstrating a proactive commitment to impartiality.</w:t>
      </w:r>
    </w:p>
    <w:p>
      <w:pPr>
        <w:pStyle w:val="BodyText"/>
      </w:pPr>
      <w:r>
        <w:t xml:space="preserve">Feedback from peers in</w:t>
      </w:r>
      <w:r>
        <w:t xml:space="preserve"> </w:t>
      </w:r>
      <w:r>
        <w:rPr>
          <w:bCs/>
          <w:b/>
        </w:rPr>
        <w:t xml:space="preserve">Qatar Doha</w:t>
      </w:r>
      <w:r>
        <w:t xml:space="preserve"> </w:t>
      </w:r>
      <w:r>
        <w:t xml:space="preserve">highlights the</w:t>
      </w:r>
      <w:r>
        <w:t xml:space="preserve"> </w:t>
      </w:r>
      <w:r>
        <w:rPr>
          <w:bCs/>
          <w:b/>
        </w:rPr>
        <w:t xml:space="preserve">Judge</w:t>
      </w:r>
      <w:r>
        <w:t xml:space="preserve">'s reputation for honesty and fairness. The</w:t>
      </w:r>
      <w:r>
        <w:t xml:space="preserve"> </w:t>
      </w:r>
      <w:r>
        <w:rPr>
          <w:bCs/>
          <w:b/>
        </w:rPr>
        <w:t xml:space="preserve">Judge</w:t>
      </w:r>
      <w:r>
        <w:t xml:space="preserve"> </w:t>
      </w:r>
      <w:r>
        <w:t xml:space="preserve">is viewed as a role model within the legal community, upholding the values of the judiciary and contributing positively to the professional culture of the courts.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Judge</w:t>
      </w:r>
      <w:r>
        <w:t xml:space="preserve"> </w:t>
      </w:r>
      <w:r>
        <w:t xml:space="preserve">performs their duties with distinction. The</w:t>
      </w:r>
      <w:r>
        <w:t xml:space="preserve"> </w:t>
      </w:r>
      <w:r>
        <w:rPr>
          <w:bCs/>
          <w:b/>
        </w:rPr>
        <w:t xml:space="preserve">Judge</w:t>
      </w:r>
      <w:r>
        <w:t xml:space="preserve"> </w:t>
      </w:r>
      <w:r>
        <w:t xml:space="preserve">possesses the legal expertise, ethical fortitude, and managerial skills necessary to serve the people of</w:t>
      </w:r>
      <w:r>
        <w:t xml:space="preserve"> </w:t>
      </w:r>
      <w:r>
        <w:rPr>
          <w:bCs/>
          <w:b/>
        </w:rPr>
        <w:t xml:space="preserve">Qatar Doha</w:t>
      </w:r>
      <w:r>
        <w:t xml:space="preserve"> </w:t>
      </w:r>
      <w:r>
        <w:t xml:space="preserve">effectively.</w:t>
      </w:r>
    </w:p>
    <w:p>
      <w:pPr>
        <w:pStyle w:val="BodyText"/>
      </w:pPr>
      <w:r>
        <w:t xml:space="preserve">While the performance is exemplary, the following recommendations are offered for continued professional development:</w:t>
      </w:r>
    </w:p>
    <w:p>
      <w:pPr>
        <w:numPr>
          <w:ilvl w:val="0"/>
          <w:numId w:val="1002"/>
        </w:numPr>
        <w:pStyle w:val="Compact"/>
      </w:pPr>
      <w:r>
        <w:t xml:space="preserve">Engage in advanced training on emerging issues in international arbitration, given</w:t>
      </w:r>
      <w:r>
        <w:t xml:space="preserve"> </w:t>
      </w:r>
      <w:r>
        <w:rPr>
          <w:bCs/>
          <w:b/>
        </w:rPr>
        <w:t xml:space="preserve">Qatar Doha</w:t>
      </w:r>
      <w:r>
        <w:t xml:space="preserve">'s growing role as a regional legal hub.</w:t>
      </w:r>
    </w:p>
    <w:p>
      <w:pPr>
        <w:numPr>
          <w:ilvl w:val="0"/>
          <w:numId w:val="1002"/>
        </w:numPr>
        <w:pStyle w:val="Compact"/>
      </w:pPr>
      <w:r>
        <w:t xml:space="preserve">Continue to mentor junior judges to foster a culture of excellence within the judiciary.</w:t>
      </w:r>
    </w:p>
    <w:p>
      <w:pPr>
        <w:pStyle w:val="FirstParagraph"/>
      </w:pPr>
      <w:r>
        <w:t xml:space="preserve">In summary,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valuable asset to the judicial system of</w:t>
      </w:r>
      <w:r>
        <w:t xml:space="preserve"> </w:t>
      </w:r>
      <w:r>
        <w:rPr>
          <w:bCs/>
          <w:b/>
        </w:rPr>
        <w:t xml:space="preserve">Qatar Doha</w:t>
      </w:r>
      <w:r>
        <w:t xml:space="preserve">. Their contributions uphold the rule of law and support the nation's broader objectives of justice and stability. It is recommended that the</w:t>
      </w:r>
      <w:r>
        <w:t xml:space="preserve"> </w:t>
      </w:r>
      <w:r>
        <w:rPr>
          <w:bCs/>
          <w:b/>
        </w:rPr>
        <w:t xml:space="preserve">Judge</w:t>
      </w:r>
      <w:r>
        <w:t xml:space="preserve"> </w:t>
      </w:r>
      <w:r>
        <w:t xml:space="preserve">be recognized for their outstanding service and encouraged to continue their current trajectory of professional excellence.</w:t>
      </w:r>
    </w:p>
    <w:bookmarkEnd w:id="26"/>
    <w:p>
      <w:pPr>
        <w:pStyle w:val="BodyText"/>
      </w:pPr>
      <w:r>
        <w:rPr>
          <w:bCs/>
          <w:b/>
        </w:rPr>
        <w:t xml:space="preserve">Prepared by:</w:t>
      </w:r>
    </w:p>
    <w:p>
      <w:pPr>
        <w:pStyle w:val="BodyText"/>
      </w:pPr>
      <w:r>
        <w:t xml:space="preserve">Senior Judicial Reviewer</w:t>
      </w:r>
      <w:r>
        <w:br/>
      </w:r>
      <w:r>
        <w:t xml:space="preserve">Supreme Judicial Council</w:t>
      </w:r>
      <w:r>
        <w:br/>
      </w:r>
      <w:r>
        <w:t xml:space="preserve">Doha, Qatar</w:t>
      </w:r>
    </w:p>
    <w:p>
      <w:pPr>
        <w:pStyle w:val="BodyText"/>
      </w:pPr>
      <w:r>
        <w:t xml:space="preserve">This document is confidential and intended solely for the use of the Supreme Judicial Council of Qatar.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Doha, Qatar</dc:title>
  <dc:creator/>
  <dc:language>en</dc:language>
  <cp:keywords/>
  <dcterms:created xsi:type="dcterms:W3CDTF">2026-10-10T03:47:02Z</dcterms:created>
  <dcterms:modified xsi:type="dcterms:W3CDTF">2026-10-10T03:47:02Z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