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Judicial</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t xml:space="preserve">Judicial Performance Evaluation and Professional Competence Assessment</w:t>
      </w:r>
    </w:p>
    <w:bookmarkEnd w:id="20"/>
    <w:p>
      <w:pPr>
        <w:pStyle w:val="BodyText"/>
      </w:pPr>
      <w:r>
        <w:rPr>
          <w:bCs/>
          <w:b/>
        </w:rPr>
        <w:t xml:space="preserve">Date of Report:</w:t>
      </w:r>
      <w:r>
        <w:t xml:space="preserve"> </w:t>
      </w:r>
      <w:r>
        <w:t xml:space="preserve">October 24, 2023</w:t>
      </w:r>
    </w:p>
    <w:p>
      <w:pPr>
        <w:pStyle w:val="BodyText"/>
      </w:pPr>
      <w:r>
        <w:rPr>
          <w:bCs/>
          <w:b/>
        </w:rPr>
        <w:t xml:space="preserve">Location:</w:t>
      </w:r>
      <w:r>
        <w:t xml:space="preserve"> </w:t>
      </w:r>
      <w:r>
        <w:t xml:space="preserve">Riyadh, Saudi Arabia</w:t>
      </w:r>
    </w:p>
    <w:p>
      <w:pPr>
        <w:pStyle w:val="BodyText"/>
      </w:pPr>
      <w:r>
        <w:rPr>
          <w:bCs/>
          <w:b/>
        </w:rPr>
        <w:t xml:space="preserve">Subject of Review:</w:t>
      </w:r>
      <w:r>
        <w:t xml:space="preserve"> </w:t>
      </w:r>
      <w:r>
        <w:t xml:space="preserve">Judge [Name Redacted for Confidentiality]</w:t>
      </w:r>
    </w:p>
    <w:p>
      <w:pPr>
        <w:pStyle w:val="BodyText"/>
      </w:pPr>
      <w:r>
        <w:rPr>
          <w:bCs/>
          <w:b/>
        </w:rPr>
        <w:t xml:space="preserve">Reviewing Body:</w:t>
      </w:r>
      <w:r>
        <w:t xml:space="preserve"> </w:t>
      </w:r>
      <w:r>
        <w:t xml:space="preserve">Supreme Judicial Council - Peer Review Committee</w:t>
      </w:r>
    </w:p>
    <w:p>
      <w:pPr>
        <w:pStyle w:val="BodyText"/>
      </w:pPr>
      <w:r>
        <w:rPr>
          <w:bCs/>
          <w:b/>
        </w:rPr>
        <w:t xml:space="preserve">Case Volume Reviewed:</w:t>
      </w:r>
      <w:r>
        <w:t xml:space="preserve"> </w:t>
      </w:r>
      <w:r>
        <w:t xml:space="preserve">150 Civil and Commercial Cases (FY 2022-2023)</w:t>
      </w:r>
    </w:p>
    <w:p>
      <w:pPr>
        <w:pStyle w:val="BodyText"/>
      </w:pPr>
      <w:r>
        <w:rPr>
          <w:bCs/>
          <w:b/>
        </w:rPr>
        <w:t xml:space="preserve">Review Period:</w:t>
      </w:r>
      <w:r>
        <w:t xml:space="preserve"> </w:t>
      </w:r>
      <w:r>
        <w:t xml:space="preserve">January 2023 – September 2023</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conduct, legal acumen, and judicial efficiency of a</w:t>
      </w:r>
      <w:r>
        <w:t xml:space="preserve"> </w:t>
      </w:r>
      <w:r>
        <w:rPr>
          <w:bCs/>
          <w:b/>
        </w:rPr>
        <w:t xml:space="preserve">Judge</w:t>
      </w:r>
      <w:r>
        <w:t xml:space="preserve"> </w:t>
      </w:r>
      <w:r>
        <w:t xml:space="preserve">currently serving within the judicial system of</w:t>
      </w:r>
      <w:r>
        <w:t xml:space="preserve"> </w:t>
      </w:r>
      <w:r>
        <w:rPr>
          <w:bCs/>
          <w:b/>
        </w:rPr>
        <w:t xml:space="preserve">Saudi Arabia Riyadh</w:t>
      </w:r>
      <w:r>
        <w:t xml:space="preserve">. The review is conducted in strict adherence to the regulations set forth by the Supreme Judicial Council and aligns with the broader objectives of Vision 2030 regarding judicial transparency and excellence.</w:t>
      </w:r>
    </w:p>
    <w:p>
      <w:pPr>
        <w:pStyle w:val="BodyText"/>
      </w:pPr>
      <w:r>
        <w:t xml:space="preserve">The assessment focuses on the</w:t>
      </w:r>
      <w:r>
        <w:t xml:space="preserve"> </w:t>
      </w:r>
      <w:r>
        <w:rPr>
          <w:bCs/>
          <w:b/>
        </w:rPr>
        <w:t xml:space="preserve">Judge</w:t>
      </w:r>
      <w:r>
        <w:t xml:space="preserve">'s ability to interpret Sharia law and statutory regulations, manage court proceedings in the bustling legal environment of</w:t>
      </w:r>
      <w:r>
        <w:t xml:space="preserve"> </w:t>
      </w:r>
      <w:r>
        <w:rPr>
          <w:bCs/>
          <w:b/>
        </w:rPr>
        <w:t xml:space="preserve">Riyadh</w:t>
      </w:r>
      <w:r>
        <w:t xml:space="preserve">, and maintain the highest standards of ethical integrity. The findings presented herein are based on a comprehensive analysis of case files, courtroom observations, and feedback from legal practitioners.</w:t>
      </w:r>
    </w:p>
    <w:bookmarkEnd w:id="21"/>
    <w:bookmarkStart w:id="22" w:name="introduction-and-context"/>
    <w:p>
      <w:pPr>
        <w:pStyle w:val="Heading2"/>
      </w:pPr>
      <w:r>
        <w:t xml:space="preserve">2. Introduction and Context</w:t>
      </w:r>
    </w:p>
    <w:p>
      <w:pPr>
        <w:pStyle w:val="FirstParagraph"/>
      </w:pPr>
      <w:r>
        <w:t xml:space="preserve">The judicial landscape in</w:t>
      </w:r>
      <w:r>
        <w:t xml:space="preserve"> </w:t>
      </w:r>
      <w:r>
        <w:rPr>
          <w:bCs/>
          <w:b/>
        </w:rPr>
        <w:t xml:space="preserve">Saudi Arabia Riyadh</w:t>
      </w:r>
      <w:r>
        <w:t xml:space="preserve"> </w:t>
      </w:r>
      <w:r>
        <w:t xml:space="preserve">is undergoing significant transformation. As the capital city,</w:t>
      </w:r>
      <w:r>
        <w:t xml:space="preserve"> </w:t>
      </w:r>
      <w:r>
        <w:rPr>
          <w:bCs/>
          <w:b/>
        </w:rPr>
        <w:t xml:space="preserve">Riyadh</w:t>
      </w:r>
      <w:r>
        <w:t xml:space="preserve"> </w:t>
      </w:r>
      <w:r>
        <w:t xml:space="preserve">hosts a high volume of complex commercial, civil, and labor disputes. Consequently, the role of the</w:t>
      </w:r>
      <w:r>
        <w:t xml:space="preserve"> </w:t>
      </w:r>
      <w:r>
        <w:rPr>
          <w:bCs/>
          <w:b/>
        </w:rPr>
        <w:t xml:space="preserve">Judge</w:t>
      </w:r>
      <w:r>
        <w:t xml:space="preserve"> </w:t>
      </w:r>
      <w:r>
        <w:t xml:space="preserve">is pivotal in ensuring the rule of law and fostering a stable environment for economic growth. This</w:t>
      </w:r>
      <w:r>
        <w:t xml:space="preserve"> </w:t>
      </w:r>
      <w:r>
        <w:rPr>
          <w:bCs/>
          <w:b/>
        </w:rPr>
        <w:t xml:space="preserve">Peer Review Report</w:t>
      </w:r>
      <w:r>
        <w:t xml:space="preserve"> </w:t>
      </w:r>
      <w:r>
        <w:t xml:space="preserve">aims to provide an objective analysis of how the subject</w:t>
      </w:r>
      <w:r>
        <w:t xml:space="preserve"> </w:t>
      </w:r>
      <w:r>
        <w:rPr>
          <w:bCs/>
          <w:b/>
        </w:rPr>
        <w:t xml:space="preserve">Judge</w:t>
      </w:r>
      <w:r>
        <w:t xml:space="preserve"> </w:t>
      </w:r>
      <w:r>
        <w:t xml:space="preserve">navigates these challenges.</w:t>
      </w:r>
    </w:p>
    <w:p>
      <w:pPr>
        <w:pStyle w:val="BodyText"/>
      </w:pPr>
      <w:r>
        <w:t xml:space="preserve">The review process involves a panel of senior judges and legal experts who examine the subject's performance against established benchmarks. The goal is not merely to critique, but to identify areas of excellence and opportunities for professional development, ensuring that the judiciary in</w:t>
      </w:r>
      <w:r>
        <w:t xml:space="preserve"> </w:t>
      </w:r>
      <w:r>
        <w:rPr>
          <w:bCs/>
          <w:b/>
        </w:rPr>
        <w:t xml:space="preserve">Saudi Arabia Riyadh</w:t>
      </w:r>
      <w:r>
        <w:t xml:space="preserve"> </w:t>
      </w:r>
      <w:r>
        <w:t xml:space="preserve">remains world-class.</w:t>
      </w:r>
    </w:p>
    <w:bookmarkEnd w:id="22"/>
    <w:bookmarkStart w:id="23" w:name="X41104c4785735a2b506e20feea01aa36516a692"/>
    <w:p>
      <w:pPr>
        <w:pStyle w:val="Heading2"/>
      </w:pPr>
      <w:r>
        <w:t xml:space="preserve">3. Evaluation of Legal Competence and Reasoning</w:t>
      </w:r>
    </w:p>
    <w:p>
      <w:pPr>
        <w:pStyle w:val="FirstParagraph"/>
      </w:pPr>
      <w:r>
        <w:t xml:space="preserve">A primary criterion in this</w:t>
      </w:r>
      <w:r>
        <w:t xml:space="preserve"> </w:t>
      </w:r>
      <w:r>
        <w:rPr>
          <w:bCs/>
          <w:b/>
        </w:rPr>
        <w:t xml:space="preserve">Peer Review Report</w:t>
      </w:r>
      <w:r>
        <w:t xml:space="preserve"> </w:t>
      </w:r>
      <w:r>
        <w:t xml:space="preserve">is the</w:t>
      </w:r>
      <w:r>
        <w:t xml:space="preserve"> </w:t>
      </w:r>
      <w:r>
        <w:rPr>
          <w:bCs/>
          <w:b/>
        </w:rPr>
        <w:t xml:space="preserve">Judge</w:t>
      </w:r>
      <w:r>
        <w:t xml:space="preserve">'s mastery of legal principles. The review indicates that the</w:t>
      </w:r>
      <w:r>
        <w:t xml:space="preserve"> </w:t>
      </w:r>
      <w:r>
        <w:rPr>
          <w:bCs/>
          <w:b/>
        </w:rPr>
        <w:t xml:space="preserve">Judge</w:t>
      </w:r>
      <w:r>
        <w:t xml:space="preserve"> </w:t>
      </w:r>
      <w:r>
        <w:t xml:space="preserve">demonstrates a profound understanding of Islamic Jurisprudence (Fiqh) and the newly codified laws of the Kingdom, such as the Civil Transactions Law and the Commercial Courts Law.</w:t>
      </w:r>
    </w:p>
    <w:p>
      <w:pPr>
        <w:pStyle w:val="BodyText"/>
      </w:pPr>
      <w:r>
        <w:t xml:space="preserve">In the context of</w:t>
      </w:r>
      <w:r>
        <w:t xml:space="preserve"> </w:t>
      </w:r>
      <w:r>
        <w:rPr>
          <w:bCs/>
          <w:b/>
        </w:rPr>
        <w:t xml:space="preserve">Saudi Arabia Riyadh</w:t>
      </w:r>
      <w:r>
        <w:t xml:space="preserve">, where commercial litigation is frequent, the</w:t>
      </w:r>
      <w:r>
        <w:t xml:space="preserve"> </w:t>
      </w:r>
      <w:r>
        <w:rPr>
          <w:bCs/>
          <w:b/>
        </w:rPr>
        <w:t xml:space="preserve">Judge</w:t>
      </w:r>
      <w:r>
        <w:t xml:space="preserve"> </w:t>
      </w:r>
      <w:r>
        <w:t xml:space="preserve">has shown exceptional skill in balancing traditional Sharia principles with modern commercial realities. The written judgments reviewed were characterized by clarity, logical structure, and precise citation of legal precedents. The</w:t>
      </w:r>
      <w:r>
        <w:t xml:space="preserve"> </w:t>
      </w:r>
      <w:r>
        <w:rPr>
          <w:bCs/>
          <w:b/>
        </w:rPr>
        <w:t xml:space="preserve">Judge</w:t>
      </w:r>
      <w:r>
        <w:t xml:space="preserve"> </w:t>
      </w:r>
      <w:r>
        <w:t xml:space="preserve">consistently provides detailed reasoning, which enhances the legitimacy of the court's decisions and reduces the likelihood of appeals.</w:t>
      </w:r>
    </w:p>
    <w:bookmarkEnd w:id="23"/>
    <w:bookmarkStart w:id="24" w:name="courtroom-management-and-efficiency"/>
    <w:p>
      <w:pPr>
        <w:pStyle w:val="Heading2"/>
      </w:pPr>
      <w:r>
        <w:t xml:space="preserve">4. Courtroom Management and Efficiency</w:t>
      </w:r>
    </w:p>
    <w:p>
      <w:pPr>
        <w:pStyle w:val="FirstParagraph"/>
      </w:pPr>
      <w:r>
        <w:t xml:space="preserve">Efficiency is a critical metric for any</w:t>
      </w:r>
      <w:r>
        <w:t xml:space="preserve"> </w:t>
      </w:r>
      <w:r>
        <w:rPr>
          <w:bCs/>
          <w:b/>
        </w:rPr>
        <w:t xml:space="preserve">Judge</w:t>
      </w:r>
      <w:r>
        <w:t xml:space="preserve"> </w:t>
      </w:r>
      <w:r>
        <w:t xml:space="preserve">operating in</w:t>
      </w:r>
      <w:r>
        <w:t xml:space="preserve"> </w:t>
      </w:r>
      <w:r>
        <w:rPr>
          <w:bCs/>
          <w:b/>
        </w:rPr>
        <w:t xml:space="preserve">Riyadh</w:t>
      </w:r>
      <w:r>
        <w:t xml:space="preserve">, given the high caseloads typical of the region. This</w:t>
      </w:r>
      <w:r>
        <w:t xml:space="preserve"> </w:t>
      </w:r>
      <w:r>
        <w:rPr>
          <w:bCs/>
          <w:b/>
        </w:rPr>
        <w:t xml:space="preserve">Peer Review Report</w:t>
      </w:r>
      <w:r>
        <w:t xml:space="preserve"> </w:t>
      </w:r>
      <w:r>
        <w:t xml:space="preserve">highlights the subject's effective case management strategies. The</w:t>
      </w:r>
      <w:r>
        <w:t xml:space="preserve"> </w:t>
      </w:r>
      <w:r>
        <w:rPr>
          <w:bCs/>
          <w:b/>
        </w:rPr>
        <w:t xml:space="preserve">Judge</w:t>
      </w:r>
      <w:r>
        <w:t xml:space="preserve"> </w:t>
      </w:r>
      <w:r>
        <w:t xml:space="preserve">has successfully utilized the "Najm" and "Absher" judicial platforms to streamline procedural steps, ensuring that cases move through the system without unnecessary delays.</w:t>
      </w:r>
    </w:p>
    <w:p>
      <w:pPr>
        <w:pStyle w:val="BodyText"/>
      </w:pPr>
      <w:r>
        <w:t xml:space="preserve">Observations of live hearings reveal that the</w:t>
      </w:r>
      <w:r>
        <w:t xml:space="preserve"> </w:t>
      </w:r>
      <w:r>
        <w:rPr>
          <w:bCs/>
          <w:b/>
        </w:rPr>
        <w:t xml:space="preserve">Judge</w:t>
      </w:r>
      <w:r>
        <w:t xml:space="preserve"> </w:t>
      </w:r>
      <w:r>
        <w:t xml:space="preserve">maintains strict control over courtroom proceedings. They ensure that all parties are heard fairly while preventing procedural abuses or dilatory tactics. The</w:t>
      </w:r>
      <w:r>
        <w:t xml:space="preserve"> </w:t>
      </w:r>
      <w:r>
        <w:rPr>
          <w:bCs/>
          <w:b/>
        </w:rPr>
        <w:t xml:space="preserve">Judge</w:t>
      </w:r>
      <w:r>
        <w:t xml:space="preserve">'s ability to mediate and encourage settlement, where appropriate, has contributed significantly to the reduction of the backlog in the courts of</w:t>
      </w:r>
      <w:r>
        <w:t xml:space="preserve"> </w:t>
      </w:r>
      <w:r>
        <w:rPr>
          <w:bCs/>
          <w:b/>
        </w:rPr>
        <w:t xml:space="preserve">Saudi Arabia Riyadh</w:t>
      </w:r>
      <w:r>
        <w:t xml:space="preserve">.</w:t>
      </w:r>
    </w:p>
    <w:bookmarkEnd w:id="24"/>
    <w:bookmarkStart w:id="25" w:name="Xe392b7a3cbe83e38fb4506a95f73905ad882931"/>
    <w:p>
      <w:pPr>
        <w:pStyle w:val="Heading2"/>
      </w:pPr>
      <w:r>
        <w:t xml:space="preserve">5. Ethical Conduct and Professional Integrity</w:t>
      </w:r>
    </w:p>
    <w:p>
      <w:pPr>
        <w:pStyle w:val="FirstParagraph"/>
      </w:pPr>
      <w:r>
        <w:t xml:space="preserve">Integrity is the cornerstone of the judiciary. This</w:t>
      </w:r>
      <w:r>
        <w:t xml:space="preserve"> </w:t>
      </w:r>
      <w:r>
        <w:rPr>
          <w:bCs/>
          <w:b/>
        </w:rPr>
        <w:t xml:space="preserve">Peer Review Report</w:t>
      </w:r>
      <w:r>
        <w:t xml:space="preserve"> </w:t>
      </w:r>
      <w:r>
        <w:t xml:space="preserve">confirms that the</w:t>
      </w:r>
      <w:r>
        <w:t xml:space="preserve"> </w:t>
      </w:r>
      <w:r>
        <w:rPr>
          <w:bCs/>
          <w:b/>
        </w:rPr>
        <w:t xml:space="preserve">Judge</w:t>
      </w:r>
      <w:r>
        <w:t xml:space="preserve"> </w:t>
      </w:r>
      <w:r>
        <w:t xml:space="preserve">adheres strictly to the Code of Judicial Ethics. There were no reports of bias, corruption, or impropriety during the review period. The</w:t>
      </w:r>
      <w:r>
        <w:t xml:space="preserve"> </w:t>
      </w:r>
      <w:r>
        <w:rPr>
          <w:bCs/>
          <w:b/>
        </w:rPr>
        <w:t xml:space="preserve">Judge</w:t>
      </w:r>
      <w:r>
        <w:t xml:space="preserve"> </w:t>
      </w:r>
      <w:r>
        <w:t xml:space="preserve">maintains appropriate boundaries with litigants and attorneys, preserving the impartiality required of the office.</w:t>
      </w:r>
    </w:p>
    <w:p>
      <w:pPr>
        <w:pStyle w:val="BodyText"/>
      </w:pPr>
      <w:r>
        <w:t xml:space="preserve">Furthermore, the</w:t>
      </w:r>
      <w:r>
        <w:t xml:space="preserve"> </w:t>
      </w:r>
      <w:r>
        <w:rPr>
          <w:bCs/>
          <w:b/>
        </w:rPr>
        <w:t xml:space="preserve">Judge</w:t>
      </w:r>
      <w:r>
        <w:t xml:space="preserve"> </w:t>
      </w:r>
      <w:r>
        <w:t xml:space="preserve">exhibits a high degree of cultural sensitivity and respect for the diverse population of</w:t>
      </w:r>
      <w:r>
        <w:t xml:space="preserve"> </w:t>
      </w:r>
      <w:r>
        <w:rPr>
          <w:bCs/>
          <w:b/>
        </w:rPr>
        <w:t xml:space="preserve">Riyadh</w:t>
      </w:r>
      <w:r>
        <w:t xml:space="preserve">. The demeanor displayed in court is dignified and respectful, reflecting the honor associated with the judicial role in</w:t>
      </w:r>
      <w:r>
        <w:t xml:space="preserve"> </w:t>
      </w:r>
      <w:r>
        <w:rPr>
          <w:bCs/>
          <w:b/>
        </w:rPr>
        <w:t xml:space="preserve">Saudi Arabia</w:t>
      </w:r>
      <w:r>
        <w:t xml:space="preserve">.</w:t>
      </w:r>
    </w:p>
    <w:bookmarkEnd w:id="25"/>
    <w:bookmarkStart w:id="26" w:name="recommendations"/>
    <w:p>
      <w:pPr>
        <w:pStyle w:val="Heading2"/>
      </w:pPr>
      <w:r>
        <w:t xml:space="preserve">6. Recommendations</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Judge</w:t>
      </w:r>
      <w:r>
        <w:t xml:space="preserve">:</w:t>
      </w:r>
    </w:p>
    <w:p>
      <w:pPr>
        <w:numPr>
          <w:ilvl w:val="0"/>
          <w:numId w:val="1001"/>
        </w:numPr>
        <w:pStyle w:val="Compact"/>
      </w:pPr>
      <w:r>
        <w:rPr>
          <w:bCs/>
          <w:b/>
        </w:rPr>
        <w:t xml:space="preserve">Continued Professional Development:</w:t>
      </w:r>
      <w:r>
        <w:t xml:space="preserve"> </w:t>
      </w:r>
      <w:r>
        <w:t xml:space="preserve">It is recommended that the</w:t>
      </w:r>
      <w:r>
        <w:t xml:space="preserve"> </w:t>
      </w:r>
      <w:r>
        <w:rPr>
          <w:bCs/>
          <w:b/>
        </w:rPr>
        <w:t xml:space="preserve">Judge</w:t>
      </w:r>
      <w:r>
        <w:t xml:space="preserve"> </w:t>
      </w:r>
      <w:r>
        <w:t xml:space="preserve">participate in advanced training workshops regarding international arbitration standards, further enhancing the global competitiveness of</w:t>
      </w:r>
      <w:r>
        <w:t xml:space="preserve"> </w:t>
      </w:r>
      <w:r>
        <w:rPr>
          <w:bCs/>
          <w:b/>
        </w:rPr>
        <w:t xml:space="preserve">Saudi Arabia Riyadh</w:t>
      </w:r>
      <w:r>
        <w:t xml:space="preserve"> </w:t>
      </w:r>
      <w:r>
        <w:t xml:space="preserve">as a legal hub.</w:t>
      </w:r>
    </w:p>
    <w:p>
      <w:pPr>
        <w:numPr>
          <w:ilvl w:val="0"/>
          <w:numId w:val="1001"/>
        </w:numPr>
        <w:pStyle w:val="Compact"/>
      </w:pPr>
      <w:r>
        <w:rPr>
          <w:bCs/>
          <w:b/>
        </w:rPr>
        <w:t xml:space="preserve">Technology Integration:</w:t>
      </w:r>
      <w:r>
        <w:t xml:space="preserve"> </w:t>
      </w:r>
      <w:r>
        <w:t xml:space="preserve">While proficient, the</w:t>
      </w:r>
      <w:r>
        <w:t xml:space="preserve"> </w:t>
      </w:r>
      <w:r>
        <w:rPr>
          <w:bCs/>
          <w:b/>
        </w:rPr>
        <w:t xml:space="preserve">Judge</w:t>
      </w:r>
      <w:r>
        <w:t xml:space="preserve"> </w:t>
      </w:r>
      <w:r>
        <w:t xml:space="preserve">is encouraged to further explore AI-assisted legal research tools to improve the speed of judgment drafting.</w:t>
      </w:r>
    </w:p>
    <w:p>
      <w:pPr>
        <w:numPr>
          <w:ilvl w:val="0"/>
          <w:numId w:val="1001"/>
        </w:numPr>
        <w:pStyle w:val="Compact"/>
      </w:pPr>
      <w:r>
        <w:rPr>
          <w:bCs/>
          <w:b/>
        </w:rPr>
        <w:t xml:space="preserve">Mentorship:</w:t>
      </w:r>
      <w:r>
        <w:t xml:space="preserve"> </w:t>
      </w:r>
      <w:r>
        <w:t xml:space="preserve">Given their high performance, the</w:t>
      </w:r>
      <w:r>
        <w:t xml:space="preserve"> </w:t>
      </w:r>
      <w:r>
        <w:rPr>
          <w:bCs/>
          <w:b/>
        </w:rPr>
        <w:t xml:space="preserve">Judge</w:t>
      </w:r>
      <w:r>
        <w:t xml:space="preserve"> </w:t>
      </w:r>
      <w:r>
        <w:t xml:space="preserve">should be considered for a mentorship role to guide junior judges within the Riyadh judicial district.</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Judge</w:t>
      </w:r>
      <w:r>
        <w:t xml:space="preserve"> </w:t>
      </w:r>
      <w:r>
        <w:t xml:space="preserve">is performing at a level that exceeds the expectations of the judicial system in</w:t>
      </w:r>
      <w:r>
        <w:t xml:space="preserve"> </w:t>
      </w:r>
      <w:r>
        <w:rPr>
          <w:bCs/>
          <w:b/>
        </w:rPr>
        <w:t xml:space="preserve">Saudi Arabia Riyadh</w:t>
      </w:r>
      <w:r>
        <w:t xml:space="preserve">. Their commitment to justice, legal excellence, and efficiency serves as a model for the judiciary. The review concludes that the</w:t>
      </w:r>
      <w:r>
        <w:t xml:space="preserve"> </w:t>
      </w:r>
      <w:r>
        <w:rPr>
          <w:bCs/>
          <w:b/>
        </w:rPr>
        <w:t xml:space="preserve">Judge</w:t>
      </w:r>
      <w:r>
        <w:t xml:space="preserve"> </w:t>
      </w:r>
      <w:r>
        <w:t xml:space="preserve">is fully competent and fit to continue serving in their current capacity, contributing positively to the rule of law in the Kingdom.</w:t>
      </w:r>
    </w:p>
    <w:p>
      <w:pPr>
        <w:pStyle w:val="BodyText"/>
      </w:pPr>
      <w:r>
        <w:rPr>
          <w:bCs/>
          <w:b/>
        </w:rPr>
        <w:t xml:space="preserve">Chairman, Peer Review Committee</w:t>
      </w:r>
      <w:r>
        <w:br/>
      </w:r>
      <w:r>
        <w:t xml:space="preserve">Supreme Judicial Council</w:t>
      </w:r>
    </w:p>
    <w:p>
      <w:pPr>
        <w:pStyle w:val="BodyText"/>
      </w:pPr>
      <w:r>
        <w:rPr>
          <w:bCs/>
          <w:b/>
        </w:rPr>
        <w:t xml:space="preserve">Senior Legal Advisor</w:t>
      </w:r>
      <w:r>
        <w:br/>
      </w:r>
      <w:r>
        <w:t xml:space="preserve">Riyadh Judicial District</w:t>
      </w:r>
    </w:p>
    <w:p>
      <w:pPr>
        <w:pStyle w:val="BodyText"/>
      </w:pPr>
      <w:r>
        <w:t xml:space="preserve">Confidential Document - For Internal Use Only - Saudi Arabia Riyadh Judicial Administration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Judicial Performance Evaluation</dc:title>
  <dc:creator/>
  <dc:language>en</dc:language>
  <cp:keywords/>
  <dcterms:created xsi:type="dcterms:W3CDTF">2026-10-10T01:58:37Z</dcterms:created>
  <dcterms:modified xsi:type="dcterms:W3CDTF">2026-10-10T01:58:37Z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