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Judicial Performance Assessment Framework</w:t>
      </w:r>
    </w:p>
    <w:p>
      <w:pPr>
        <w:pStyle w:val="BodyText"/>
      </w:pPr>
      <w:r>
        <w:t xml:space="preserve">Jurisdiction:</w:t>
      </w:r>
      <w:r>
        <w:t xml:space="preserve"> </w:t>
      </w:r>
      <w:r>
        <w:t xml:space="preserve">Singapore Singapore</w:t>
      </w:r>
    </w:p>
    <w:p>
      <w:pPr>
        <w:pStyle w:val="BodyText"/>
      </w:pPr>
      <w:r>
        <w:t xml:space="preserve">Subject Role:</w:t>
      </w:r>
      <w:r>
        <w:t xml:space="preserve"> </w:t>
      </w:r>
      <w:r>
        <w:t xml:space="preserve">Judge</w:t>
      </w:r>
    </w:p>
    <w:p>
      <w:pPr>
        <w:pStyle w:val="BodyText"/>
      </w:pPr>
      <w:r>
        <w:t xml:space="preserve">Report Date:</w:t>
      </w:r>
      <w:r>
        <w:t xml:space="preserve"> </w:t>
      </w:r>
      <w:r>
        <w:t xml:space="preserve">October 24, 2023</w:t>
      </w:r>
    </w:p>
    <w:p>
      <w:pPr>
        <w:pStyle w:val="BodyText"/>
      </w:pPr>
      <w:r>
        <w:t xml:space="preserve">Reference ID:</w:t>
      </w:r>
      <w:r>
        <w:t xml:space="preserve"> </w:t>
      </w:r>
      <w:r>
        <w:t xml:space="preserve">SG-JUD-PR-2023-089</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administrative efficiency of a sitting</w:t>
      </w:r>
      <w:r>
        <w:t xml:space="preserve"> </w:t>
      </w:r>
      <w:r>
        <w:rPr>
          <w:bCs/>
          <w:b/>
        </w:rPr>
        <w:t xml:space="preserve">Judge</w:t>
      </w:r>
      <w:r>
        <w:t xml:space="preserve"> </w:t>
      </w:r>
      <w:r>
        <w:t xml:space="preserve">within the superior courts of</w:t>
      </w:r>
      <w:r>
        <w:t xml:space="preserve"> </w:t>
      </w:r>
      <w:r>
        <w:rPr>
          <w:bCs/>
          <w:b/>
        </w:rPr>
        <w:t xml:space="preserve">Singapore Singapore</w:t>
      </w:r>
      <w:r>
        <w:t xml:space="preserve">. The purpose of this assessment is to uphold the high standards of integrity, impartiality, and excellence that define the judiciary in this jurisdiction. As</w:t>
      </w:r>
      <w:r>
        <w:t xml:space="preserve"> </w:t>
      </w:r>
      <w:r>
        <w:rPr>
          <w:bCs/>
          <w:b/>
        </w:rPr>
        <w:t xml:space="preserve">Singapore Singapore</w:t>
      </w:r>
      <w:r>
        <w:t xml:space="preserve"> </w:t>
      </w:r>
      <w:r>
        <w:t xml:space="preserve">maintains a reputation for one of the most efficient and transparent legal systems in the world, the continuous evaluation of its judicial officers is paramount.</w:t>
      </w:r>
    </w:p>
    <w:p>
      <w:pPr>
        <w:pStyle w:val="BodyText"/>
      </w:pPr>
      <w:r>
        <w:t xml:space="preserve">The review focuses specifically on the performance of the</w:t>
      </w:r>
      <w:r>
        <w:t xml:space="preserve"> </w:t>
      </w:r>
      <w:r>
        <w:rPr>
          <w:bCs/>
          <w:b/>
        </w:rPr>
        <w:t xml:space="preserve">Judge</w:t>
      </w:r>
      <w:r>
        <w:t xml:space="preserve"> </w:t>
      </w:r>
      <w:r>
        <w:t xml:space="preserve">over the preceding twelve-month period. It examines case management capabilities, the quality of written judgments, courtroom demeanor, and adherence to the ethical codes prescribed by the Supreme Court of</w:t>
      </w:r>
      <w:r>
        <w:t xml:space="preserve"> </w:t>
      </w:r>
      <w:r>
        <w:rPr>
          <w:bCs/>
          <w:b/>
        </w:rPr>
        <w:t xml:space="preserve">Singapore Singapore</w:t>
      </w:r>
      <w:r>
        <w:t xml:space="preserve">. This document serves as a formal record of peer observation and constructive feedback, intended to support the professional development of the</w:t>
      </w:r>
      <w:r>
        <w:t xml:space="preserve"> </w:t>
      </w:r>
      <w:r>
        <w:rPr>
          <w:bCs/>
          <w:b/>
        </w:rPr>
        <w:t xml:space="preserve">Judge</w:t>
      </w:r>
      <w:r>
        <w:t xml:space="preserve"> </w:t>
      </w:r>
      <w:r>
        <w:t xml:space="preserve">and ensure public confidence in the administration of justice.</w:t>
      </w:r>
    </w:p>
    <w:bookmarkEnd w:id="21"/>
    <w:bookmarkStart w:id="22" w:name="methodology-of-the-peer-review"/>
    <w:p>
      <w:pPr>
        <w:pStyle w:val="Heading2"/>
      </w:pPr>
      <w:r>
        <w:t xml:space="preserve">2. Methodology of the Peer Review</w:t>
      </w:r>
    </w:p>
    <w:p>
      <w:pPr>
        <w:pStyle w:val="FirstParagraph"/>
      </w:pPr>
      <w:r>
        <w:t xml:space="preserve">The methodology employed for this</w:t>
      </w:r>
      <w:r>
        <w:t xml:space="preserve"> </w:t>
      </w:r>
      <w:r>
        <w:rPr>
          <w:bCs/>
          <w:b/>
        </w:rPr>
        <w:t xml:space="preserve">Peer Review Report</w:t>
      </w:r>
      <w:r>
        <w:t xml:space="preserve"> </w:t>
      </w:r>
      <w:r>
        <w:t xml:space="preserve">aligns with the rigorous standards expected in</w:t>
      </w:r>
      <w:r>
        <w:t xml:space="preserve"> </w:t>
      </w:r>
      <w:r>
        <w:rPr>
          <w:bCs/>
          <w:b/>
        </w:rPr>
        <w:t xml:space="preserve">Singapore Singapore</w:t>
      </w:r>
      <w:r>
        <w:t xml:space="preserve">. The assessment was conducted by a panel of senior judicial colleagues and legal experts. The process involved:</w:t>
      </w:r>
    </w:p>
    <w:p>
      <w:pPr>
        <w:numPr>
          <w:ilvl w:val="0"/>
          <w:numId w:val="1001"/>
        </w:numPr>
        <w:pStyle w:val="Compact"/>
      </w:pPr>
      <w:r>
        <w:rPr>
          <w:bCs/>
          <w:b/>
        </w:rPr>
        <w:t xml:space="preserve">Observation of Hearings:</w:t>
      </w:r>
      <w:r>
        <w:t xml:space="preserve"> </w:t>
      </w:r>
      <w:r>
        <w:t xml:space="preserve">Direct observation of the</w:t>
      </w:r>
      <w:r>
        <w:t xml:space="preserve"> </w:t>
      </w:r>
      <w:r>
        <w:rPr>
          <w:bCs/>
          <w:b/>
        </w:rPr>
        <w:t xml:space="preserve">Judge</w:t>
      </w:r>
      <w:r>
        <w:t xml:space="preserve"> </w:t>
      </w:r>
      <w:r>
        <w:t xml:space="preserve">presiding over civil and criminal matters to assess courtroom management and interaction with counsel.</w:t>
      </w:r>
    </w:p>
    <w:p>
      <w:pPr>
        <w:numPr>
          <w:ilvl w:val="0"/>
          <w:numId w:val="1001"/>
        </w:numPr>
        <w:pStyle w:val="Compact"/>
      </w:pPr>
      <w:r>
        <w:rPr>
          <w:bCs/>
          <w:b/>
        </w:rPr>
        <w:t xml:space="preserve">Analysis of Judgments:</w:t>
      </w:r>
      <w:r>
        <w:t xml:space="preserve"> </w:t>
      </w:r>
      <w:r>
        <w:t xml:space="preserve">A detailed review of twenty (20) written judgments delivered by the</w:t>
      </w:r>
      <w:r>
        <w:t xml:space="preserve"> </w:t>
      </w:r>
      <w:r>
        <w:rPr>
          <w:bCs/>
          <w:b/>
        </w:rPr>
        <w:t xml:space="preserve">Judge</w:t>
      </w:r>
      <w:r>
        <w:t xml:space="preserve"> </w:t>
      </w:r>
      <w:r>
        <w:t xml:space="preserve">to evaluate legal reasoning, clarity, and citation accuracy.</w:t>
      </w:r>
    </w:p>
    <w:p>
      <w:pPr>
        <w:numPr>
          <w:ilvl w:val="0"/>
          <w:numId w:val="1001"/>
        </w:numPr>
        <w:pStyle w:val="Compact"/>
      </w:pPr>
      <w:r>
        <w:rPr>
          <w:bCs/>
          <w:b/>
        </w:rPr>
        <w:t xml:space="preserve">Stakeholder Feedback:</w:t>
      </w:r>
      <w:r>
        <w:t xml:space="preserve"> </w:t>
      </w:r>
      <w:r>
        <w:t xml:space="preserve">Anonymous surveys distributed to practicing advocates and solicitors who have appeared before the</w:t>
      </w:r>
      <w:r>
        <w:t xml:space="preserve"> </w:t>
      </w:r>
      <w:r>
        <w:rPr>
          <w:bCs/>
          <w:b/>
        </w:rPr>
        <w:t xml:space="preserve">Judge</w:t>
      </w:r>
      <w:r>
        <w:t xml:space="preserve">.</w:t>
      </w:r>
    </w:p>
    <w:p>
      <w:pPr>
        <w:pStyle w:val="FirstParagraph"/>
      </w:pPr>
      <w:r>
        <w:t xml:space="preserve">This multi-faceted approach ensures that the</w:t>
      </w:r>
      <w:r>
        <w:t xml:space="preserve"> </w:t>
      </w:r>
      <w:r>
        <w:rPr>
          <w:bCs/>
          <w:b/>
        </w:rPr>
        <w:t xml:space="preserve">Peer Review Report</w:t>
      </w:r>
      <w:r>
        <w:t xml:space="preserve"> </w:t>
      </w:r>
      <w:r>
        <w:t xml:space="preserve">provides a holistic view of the</w:t>
      </w:r>
      <w:r>
        <w:t xml:space="preserve"> </w:t>
      </w:r>
      <w:r>
        <w:rPr>
          <w:bCs/>
          <w:b/>
        </w:rPr>
        <w:t xml:space="preserve">Judge</w:t>
      </w:r>
      <w:r>
        <w:t xml:space="preserve">'s performance within the specific context of the legal landscape in</w:t>
      </w:r>
      <w:r>
        <w:t xml:space="preserve"> </w:t>
      </w:r>
      <w:r>
        <w:rPr>
          <w:bCs/>
          <w:b/>
        </w:rPr>
        <w:t xml:space="preserve">Singapore Singapore</w:t>
      </w:r>
      <w:r>
        <w:t xml:space="preserve">.</w:t>
      </w:r>
    </w:p>
    <w:bookmarkEnd w:id="22"/>
    <w:bookmarkStart w:id="23" w:name="X5e6c241a0edfe435df8262c960ba6863060a30c"/>
    <w:p>
      <w:pPr>
        <w:pStyle w:val="Heading2"/>
      </w:pPr>
      <w:r>
        <w:t xml:space="preserve">3. Assessment of Judicial Reasoning and Legal Acumen</w:t>
      </w:r>
    </w:p>
    <w:p>
      <w:pPr>
        <w:pStyle w:val="FirstParagraph"/>
      </w:pPr>
      <w:r>
        <w:t xml:space="preserve">A primary criterion for any</w:t>
      </w:r>
      <w:r>
        <w:t xml:space="preserve"> </w:t>
      </w:r>
      <w:r>
        <w:rPr>
          <w:bCs/>
          <w:b/>
        </w:rPr>
        <w:t xml:space="preserve">Judge</w:t>
      </w:r>
      <w:r>
        <w:t xml:space="preserve"> </w:t>
      </w:r>
      <w:r>
        <w:t xml:space="preserve">in</w:t>
      </w:r>
      <w:r>
        <w:t xml:space="preserve"> </w:t>
      </w:r>
      <w:r>
        <w:rPr>
          <w:bCs/>
          <w:b/>
        </w:rPr>
        <w:t xml:space="preserve">Singapore Singapore</w:t>
      </w:r>
      <w:r>
        <w:t xml:space="preserve"> </w:t>
      </w:r>
      <w:r>
        <w:t xml:space="preserve">is the ability to deliver well-reasoned, legally sound judgments. The</w:t>
      </w:r>
      <w:r>
        <w:t xml:space="preserve"> </w:t>
      </w:r>
      <w:r>
        <w:rPr>
          <w:bCs/>
          <w:b/>
        </w:rPr>
        <w:t xml:space="preserve">Peer Review Report</w:t>
      </w:r>
      <w:r>
        <w:t xml:space="preserve"> </w:t>
      </w:r>
      <w:r>
        <w:t xml:space="preserve">indicates that the subject</w:t>
      </w:r>
      <w:r>
        <w:t xml:space="preserve"> </w:t>
      </w:r>
      <w:r>
        <w:rPr>
          <w:bCs/>
          <w:b/>
        </w:rPr>
        <w:t xml:space="preserve">Judge</w:t>
      </w:r>
      <w:r>
        <w:t xml:space="preserve"> </w:t>
      </w:r>
      <w:r>
        <w:t xml:space="preserve">demonstrates exceptional legal acumen. The analyzed judgments exhibit a thorough understanding of statutory interpretation and case law, reflecting the sophisticated nature of the legal system in</w:t>
      </w:r>
      <w:r>
        <w:t xml:space="preserve"> </w:t>
      </w:r>
      <w:r>
        <w:rPr>
          <w:bCs/>
          <w:b/>
        </w:rPr>
        <w:t xml:space="preserve">Singapore Singapore</w:t>
      </w:r>
      <w:r>
        <w:t xml:space="preserve">.</w:t>
      </w:r>
    </w:p>
    <w:p>
      <w:pPr>
        <w:pStyle w:val="BodyText"/>
      </w:pPr>
      <w:r>
        <w:t xml:space="preserve">The</w:t>
      </w:r>
      <w:r>
        <w:t xml:space="preserve"> </w:t>
      </w:r>
      <w:r>
        <w:rPr>
          <w:bCs/>
          <w:b/>
        </w:rPr>
        <w:t xml:space="preserve">Judge</w:t>
      </w:r>
      <w:r>
        <w:t xml:space="preserve"> </w:t>
      </w:r>
      <w:r>
        <w:t xml:space="preserve">consistently applies precedents correctly and distinguishes cases with precision. The written decisions are characterized by clarity and logical structure, making them accessible to legal practitioners and the public alike. This attention to detail reinforces the authority of the courts in</w:t>
      </w:r>
      <w:r>
        <w:t xml:space="preserve"> </w:t>
      </w:r>
      <w:r>
        <w:rPr>
          <w:bCs/>
          <w:b/>
        </w:rPr>
        <w:t xml:space="preserve">Singapore Singapore</w:t>
      </w:r>
      <w:r>
        <w:t xml:space="preserve"> </w:t>
      </w:r>
      <w:r>
        <w:t xml:space="preserve">and ensures that the</w:t>
      </w:r>
      <w:r>
        <w:t xml:space="preserve"> </w:t>
      </w:r>
      <w:r>
        <w:rPr>
          <w:bCs/>
          <w:b/>
        </w:rPr>
        <w:t xml:space="preserve">Judge</w:t>
      </w:r>
      <w:r>
        <w:t xml:space="preserve"> </w:t>
      </w:r>
      <w:r>
        <w:t xml:space="preserve">contributes positively to the development of jurisprudence.</w:t>
      </w:r>
    </w:p>
    <w:bookmarkEnd w:id="23"/>
    <w:bookmarkStart w:id="24" w:name="courtroom-management-and-demeanor"/>
    <w:p>
      <w:pPr>
        <w:pStyle w:val="Heading2"/>
      </w:pPr>
      <w:r>
        <w:t xml:space="preserve">4. Courtroom Management and Demeanor</w:t>
      </w:r>
    </w:p>
    <w:p>
      <w:pPr>
        <w:pStyle w:val="FirstParagraph"/>
      </w:pPr>
      <w:r>
        <w:t xml:space="preserve">Effective case management is critical in</w:t>
      </w:r>
      <w:r>
        <w:t xml:space="preserve"> </w:t>
      </w:r>
      <w:r>
        <w:rPr>
          <w:bCs/>
          <w:b/>
        </w:rPr>
        <w:t xml:space="preserve">Singapore Singapore</w:t>
      </w:r>
      <w:r>
        <w:t xml:space="preserve">, where the volume of litigation is high. The</w:t>
      </w:r>
      <w:r>
        <w:t xml:space="preserve"> </w:t>
      </w:r>
      <w:r>
        <w:rPr>
          <w:bCs/>
          <w:b/>
        </w:rPr>
        <w:t xml:space="preserve">Peer Review Report</w:t>
      </w:r>
      <w:r>
        <w:t xml:space="preserve"> </w:t>
      </w:r>
      <w:r>
        <w:t xml:space="preserve">highlights the</w:t>
      </w:r>
      <w:r>
        <w:t xml:space="preserve"> </w:t>
      </w:r>
      <w:r>
        <w:rPr>
          <w:bCs/>
          <w:b/>
        </w:rPr>
        <w:t xml:space="preserve">Judge</w:t>
      </w:r>
      <w:r>
        <w:t xml:space="preserve">'s strong command of the courtroom. The</w:t>
      </w:r>
      <w:r>
        <w:t xml:space="preserve"> </w:t>
      </w:r>
      <w:r>
        <w:rPr>
          <w:bCs/>
          <w:b/>
        </w:rPr>
        <w:t xml:space="preserve">Judge</w:t>
      </w:r>
      <w:r>
        <w:t xml:space="preserve"> </w:t>
      </w:r>
      <w:r>
        <w:t xml:space="preserve">is observed to be firm yet fair, maintaining order while encouraging thorough advocacy.</w:t>
      </w:r>
    </w:p>
    <w:p>
      <w:pPr>
        <w:pStyle w:val="BodyText"/>
      </w:pPr>
      <w:r>
        <w:t xml:space="preserve">Feedback from counsel suggests that the</w:t>
      </w:r>
      <w:r>
        <w:t xml:space="preserve"> </w:t>
      </w:r>
      <w:r>
        <w:rPr>
          <w:bCs/>
          <w:b/>
        </w:rPr>
        <w:t xml:space="preserve">Judge</w:t>
      </w:r>
      <w:r>
        <w:t xml:space="preserve"> </w:t>
      </w:r>
      <w:r>
        <w:t xml:space="preserve">is attentive to arguments and asks pertinent questions that clarify issues without appearing biased. The</w:t>
      </w:r>
      <w:r>
        <w:t xml:space="preserve"> </w:t>
      </w:r>
      <w:r>
        <w:rPr>
          <w:bCs/>
          <w:b/>
        </w:rPr>
        <w:t xml:space="preserve">Judge</w:t>
      </w:r>
      <w:r>
        <w:t xml:space="preserve"> </w:t>
      </w:r>
      <w:r>
        <w:t xml:space="preserve">manages time efficiently, ensuring that hearings proceed without unnecessary delay. This efficiency is a hallmark of the judicial service in</w:t>
      </w:r>
      <w:r>
        <w:t xml:space="preserve"> </w:t>
      </w:r>
      <w:r>
        <w:rPr>
          <w:bCs/>
          <w:b/>
        </w:rPr>
        <w:t xml:space="preserve">Singapore Singapore</w:t>
      </w:r>
      <w:r>
        <w:t xml:space="preserve">, and the</w:t>
      </w:r>
      <w:r>
        <w:t xml:space="preserve"> </w:t>
      </w:r>
      <w:r>
        <w:rPr>
          <w:bCs/>
          <w:b/>
        </w:rPr>
        <w:t xml:space="preserve">Judge</w:t>
      </w:r>
      <w:r>
        <w:t xml:space="preserve"> </w:t>
      </w:r>
      <w:r>
        <w:t xml:space="preserve">exemplifies this standard. Furthermore, the</w:t>
      </w:r>
      <w:r>
        <w:t xml:space="preserve"> </w:t>
      </w:r>
      <w:r>
        <w:rPr>
          <w:bCs/>
          <w:b/>
        </w:rPr>
        <w:t xml:space="preserve">Judge</w:t>
      </w:r>
      <w:r>
        <w:t xml:space="preserve"> </w:t>
      </w:r>
      <w:r>
        <w:t xml:space="preserve">maintains a demeanor of impartiality and respect, fostering a professional environment conducive to the fair administration of justice.</w:t>
      </w:r>
    </w:p>
    <w:bookmarkEnd w:id="24"/>
    <w:bookmarkStart w:id="25" w:name="integrity-and-ethical-conduct"/>
    <w:p>
      <w:pPr>
        <w:pStyle w:val="Heading2"/>
      </w:pPr>
      <w:r>
        <w:t xml:space="preserve">5. Integrity and Ethical Conduct</w:t>
      </w:r>
    </w:p>
    <w:p>
      <w:pPr>
        <w:pStyle w:val="FirstParagraph"/>
      </w:pPr>
      <w:r>
        <w:t xml:space="preserve">Integrity is the cornerstone of the judiciary in</w:t>
      </w:r>
      <w:r>
        <w:t xml:space="preserve"> </w:t>
      </w:r>
      <w:r>
        <w:rPr>
          <w:bCs/>
          <w:b/>
        </w:rPr>
        <w:t xml:space="preserve">Singapore Singapore</w:t>
      </w:r>
      <w:r>
        <w:t xml:space="preserve">.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adheres strictly to the highest ethical standards. There are no indications of bias, conflict of interest, or impropriety. The</w:t>
      </w:r>
      <w:r>
        <w:t xml:space="preserve"> </w:t>
      </w:r>
      <w:r>
        <w:rPr>
          <w:bCs/>
          <w:b/>
        </w:rPr>
        <w:t xml:space="preserve">Judge</w:t>
      </w:r>
      <w:r>
        <w:t xml:space="preserve"> </w:t>
      </w:r>
      <w:r>
        <w:t xml:space="preserve">recuses themselves appropriately when potential conflicts arise, demonstrating a commitment to the appearance of justice as well as its reality.</w:t>
      </w:r>
    </w:p>
    <w:p>
      <w:pPr>
        <w:pStyle w:val="BodyText"/>
      </w:pPr>
      <w:r>
        <w:t xml:space="preserve">The</w:t>
      </w:r>
      <w:r>
        <w:t xml:space="preserve"> </w:t>
      </w:r>
      <w:r>
        <w:rPr>
          <w:bCs/>
          <w:b/>
        </w:rPr>
        <w:t xml:space="preserve">Judge</w:t>
      </w:r>
      <w:r>
        <w:t xml:space="preserve">'s conduct both within and outside the courtroom aligns with the expectations of the public and the legal community in</w:t>
      </w:r>
      <w:r>
        <w:t xml:space="preserve"> </w:t>
      </w:r>
      <w:r>
        <w:rPr>
          <w:bCs/>
          <w:b/>
        </w:rPr>
        <w:t xml:space="preserve">Singapore Singapore</w:t>
      </w:r>
      <w:r>
        <w:t xml:space="preserve">. This unwavering commitment to integrity strengthens the legitimacy of the judicial office.</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panel concludes that the</w:t>
      </w:r>
      <w:r>
        <w:t xml:space="preserve"> </w:t>
      </w:r>
      <w:r>
        <w:rPr>
          <w:bCs/>
          <w:b/>
        </w:rPr>
        <w:t xml:space="preserve">Judge</w:t>
      </w:r>
      <w:r>
        <w:t xml:space="preserve"> </w:t>
      </w:r>
      <w:r>
        <w:t xml:space="preserve">performs their duties with distinction. The</w:t>
      </w:r>
      <w:r>
        <w:t xml:space="preserve"> </w:t>
      </w:r>
      <w:r>
        <w:rPr>
          <w:bCs/>
          <w:b/>
        </w:rPr>
        <w:t xml:space="preserve">Judge</w:t>
      </w:r>
      <w:r>
        <w:t xml:space="preserve"> </w:t>
      </w:r>
      <w:r>
        <w:t xml:space="preserve">is a valuable asset to the judiciary of</w:t>
      </w:r>
      <w:r>
        <w:t xml:space="preserve"> </w:t>
      </w:r>
      <w:r>
        <w:rPr>
          <w:bCs/>
          <w:b/>
        </w:rPr>
        <w:t xml:space="preserve">Singapore Singapore</w:t>
      </w:r>
      <w:r>
        <w:t xml:space="preserve">, contributing to its reputation for excellence and reliability.</w:t>
      </w:r>
    </w:p>
    <w:p>
      <w:pPr>
        <w:pStyle w:val="BodyText"/>
      </w:pPr>
      <w:r>
        <w:rPr>
          <w:bCs/>
          <w:b/>
        </w:rPr>
        <w:t xml:space="preserve">Recommendations:</w:t>
      </w:r>
    </w:p>
    <w:p>
      <w:pPr>
        <w:numPr>
          <w:ilvl w:val="0"/>
          <w:numId w:val="1002"/>
        </w:numPr>
        <w:pStyle w:val="Compact"/>
      </w:pPr>
      <w:r>
        <w:t xml:space="preserve">Continue to mentor junior judicial officers to share expertise in complex commercial litigation.</w:t>
      </w:r>
    </w:p>
    <w:p>
      <w:pPr>
        <w:numPr>
          <w:ilvl w:val="0"/>
          <w:numId w:val="1002"/>
        </w:numPr>
        <w:pStyle w:val="Compact"/>
      </w:pPr>
      <w:r>
        <w:t xml:space="preserve">Consider participating in judicial education seminars focused on emerging technologies in law, a growing area of interest in</w:t>
      </w:r>
      <w:r>
        <w:t xml:space="preserve"> </w:t>
      </w:r>
      <w:r>
        <w:rPr>
          <w:bCs/>
          <w:b/>
        </w:rPr>
        <w:t xml:space="preserve">Singapore Singapore</w:t>
      </w:r>
      <w:r>
        <w:t xml:space="preserve">.</w:t>
      </w:r>
    </w:p>
    <w:p>
      <w:pPr>
        <w:pStyle w:val="FirstParagraph"/>
      </w:pPr>
      <w:r>
        <w:t xml:space="preserve">In summary,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meets and exceeds the rigorous standards required in</w:t>
      </w:r>
      <w:r>
        <w:t xml:space="preserve"> </w:t>
      </w:r>
      <w:r>
        <w:rPr>
          <w:bCs/>
          <w:b/>
        </w:rPr>
        <w:t xml:space="preserve">Singapore Singapore</w:t>
      </w:r>
      <w:r>
        <w:t xml:space="preserve">. The</w:t>
      </w:r>
      <w:r>
        <w:t xml:space="preserve"> </w:t>
      </w:r>
      <w:r>
        <w:rPr>
          <w:bCs/>
          <w:b/>
        </w:rPr>
        <w:t xml:space="preserve">Judge</w:t>
      </w:r>
      <w:r>
        <w:t xml:space="preserve"> </w:t>
      </w:r>
      <w:r>
        <w:t xml:space="preserve">is recommended for continued service and potential consideration for higher judicial responsibilities.</w:t>
      </w:r>
    </w:p>
    <w:bookmarkEnd w:id="26"/>
    <w:p>
      <w:pPr>
        <w:pStyle w:val="BodyText"/>
      </w:pPr>
      <w:r>
        <w:rPr>
          <w:bCs/>
          <w:b/>
        </w:rPr>
        <w:t xml:space="preserve">Prepared By:</w:t>
      </w:r>
      <w:r>
        <w:br/>
      </w:r>
      <w:r>
        <w:t xml:space="preserve">Senior Justice Panel</w:t>
      </w:r>
      <w:r>
        <w:br/>
      </w:r>
      <w:r>
        <w:t xml:space="preserve">Supreme Court of Singapore Singapore</w:t>
      </w:r>
    </w:p>
    <w:p>
      <w:pPr>
        <w:pStyle w:val="BodyText"/>
      </w:pPr>
      <w:r>
        <w:rPr>
          <w:bCs/>
          <w:b/>
        </w:rPr>
        <w:t xml:space="preserve">Reviewed By:</w:t>
      </w:r>
      <w:r>
        <w:br/>
      </w:r>
      <w:r>
        <w:t xml:space="preserve">Judicial Appointments Commission</w:t>
      </w:r>
      <w:r>
        <w:br/>
      </w:r>
      <w:r>
        <w:t xml:space="preserve">Singapore Singapore</w:t>
      </w:r>
    </w:p>
    <w:p>
      <w:pPr>
        <w:pStyle w:val="BodyText"/>
      </w:pPr>
      <w:r>
        <w:rPr>
          <w:bCs/>
          <w:b/>
        </w:rPr>
        <w:t xml:space="preserve">Confidentiality Notice:</w:t>
      </w:r>
      <w:r>
        <w:t xml:space="preserve"> </w:t>
      </w:r>
      <w:r>
        <w:t xml:space="preserve">This</w:t>
      </w:r>
      <w:r>
        <w:t xml:space="preserve"> </w:t>
      </w:r>
      <w:r>
        <w:rPr>
          <w:bCs/>
          <w:b/>
        </w:rPr>
        <w:t xml:space="preserve">Peer Review Report</w:t>
      </w:r>
      <w:r>
        <w:t xml:space="preserve"> </w:t>
      </w:r>
      <w:r>
        <w:t xml:space="preserve">is confidential and intended solely for the use of the addressee(s) named above. It contains sensitive information regarding the performance of a</w:t>
      </w:r>
      <w:r>
        <w:t xml:space="preserve"> </w:t>
      </w:r>
      <w:r>
        <w:rPr>
          <w:bCs/>
          <w:b/>
        </w:rPr>
        <w:t xml:space="preserve">Judge</w:t>
      </w:r>
      <w:r>
        <w:t xml:space="preserve"> </w:t>
      </w:r>
      <w:r>
        <w:t xml:space="preserve">in</w:t>
      </w:r>
      <w:r>
        <w:t xml:space="preserve"> </w:t>
      </w:r>
      <w:r>
        <w:rPr>
          <w:bCs/>
          <w:b/>
        </w:rPr>
        <w:t xml:space="preserve">Singapore Singapore</w:t>
      </w:r>
      <w:r>
        <w:t xml:space="preserve">. Unauthorized distribution, disclosure, or copying of this document is strictly prohibited under the laws of</w:t>
      </w:r>
      <w:r>
        <w:t xml:space="preserve"> </w:t>
      </w:r>
      <w:r>
        <w:rPr>
          <w:bCs/>
          <w:b/>
        </w:rPr>
        <w:t xml:space="preserve">Singapore Singapore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2026-10-10T04:19:24Z</dcterms:created>
  <dcterms:modified xsi:type="dcterms:W3CDTF">2026-10-10T04:19:24Z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