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Judicial Performance Evaluation &amp; Professional Conduct Assessment</w:t>
      </w:r>
    </w:p>
    <w:bookmarkEnd w:id="20"/>
    <w:p>
      <w:pPr>
        <w:pStyle w:val="BodyText"/>
      </w:pPr>
      <w:r>
        <w:rPr>
          <w:bCs/>
          <w:b/>
        </w:rPr>
        <w:t xml:space="preserve">Date of Report:</w:t>
      </w:r>
      <w:r>
        <w:t xml:space="preserve"> </w:t>
      </w:r>
      <w:r>
        <w:t xml:space="preserve">October 24, 2023</w:t>
      </w:r>
    </w:p>
    <w:p>
      <w:pPr>
        <w:pStyle w:val="BodyText"/>
      </w:pPr>
      <w:r>
        <w:rPr>
          <w:bCs/>
          <w:b/>
        </w:rPr>
        <w:t xml:space="preserve">Reference ID:</w:t>
      </w:r>
      <w:r>
        <w:t xml:space="preserve"> </w:t>
      </w:r>
      <w:r>
        <w:t xml:space="preserve">PR-VAL-2023-0892</w:t>
      </w:r>
    </w:p>
    <w:p>
      <w:pPr>
        <w:pStyle w:val="BodyText"/>
      </w:pPr>
      <w:r>
        <w:rPr>
          <w:bCs/>
          <w:b/>
        </w:rPr>
        <w:t xml:space="preserve">Jurisdiction:</w:t>
      </w:r>
      <w:r>
        <w:t xml:space="preserve"> </w:t>
      </w:r>
      <w:r>
        <w:t xml:space="preserve">Spain Valencia (Comunidad Valenciana)</w:t>
      </w:r>
    </w:p>
    <w:p>
      <w:pPr>
        <w:pStyle w:val="BodyText"/>
      </w:pPr>
      <w:r>
        <w:rPr>
          <w:bCs/>
          <w:b/>
        </w:rPr>
        <w:t xml:space="preserve">Subject Role:</w:t>
      </w:r>
      <w:r>
        <w:t xml:space="preserve"> </w:t>
      </w:r>
      <w:r>
        <w:t xml:space="preserve">Judge (Magistrado)</w:t>
      </w:r>
    </w:p>
    <w:p>
      <w:pPr>
        <w:pStyle w:val="BodyText"/>
      </w:pPr>
      <w:r>
        <w:rPr>
          <w:bCs/>
          <w:b/>
        </w:rPr>
        <w:t xml:space="preserve">Reviewing Body:</w:t>
      </w:r>
      <w:r>
        <w:t xml:space="preserve"> </w:t>
      </w:r>
      <w:r>
        <w:t xml:space="preserve">Judicial Peer Review Committee</w:t>
      </w:r>
    </w:p>
    <w:p>
      <w:pPr>
        <w:pStyle w:val="BodyText"/>
      </w:pPr>
      <w:r>
        <w:rPr>
          <w:bCs/>
          <w:b/>
        </w:rPr>
        <w:t xml:space="preserve">Confidentiality Level:</w:t>
      </w:r>
      <w:r>
        <w:t xml:space="preserve"> </w:t>
      </w:r>
      <w:r>
        <w:t xml:space="preserve">Strictly Confidential</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judicial reasoning, and administrative efficiency of the subject</w:t>
      </w:r>
      <w:r>
        <w:t xml:space="preserve"> </w:t>
      </w:r>
      <w:r>
        <w:rPr>
          <w:bCs/>
          <w:b/>
        </w:rPr>
        <w:t xml:space="preserve">Judge</w:t>
      </w:r>
      <w:r>
        <w:t xml:space="preserve"> </w:t>
      </w:r>
      <w:r>
        <w:t xml:space="preserve">operating within the judicial system of</w:t>
      </w:r>
      <w:r>
        <w:t xml:space="preserve"> </w:t>
      </w:r>
      <w:r>
        <w:rPr>
          <w:bCs/>
          <w:b/>
        </w:rPr>
        <w:t xml:space="preserve">Spain Valencia</w:t>
      </w:r>
      <w:r>
        <w:t xml:space="preserve">. The purpose of this review is to ensure alignment with the constitutional principles of the Spanish judiciary, specifically the independence, impartiality, and responsibility mandated by the Organic Law of the Judicial Power (LOPJ).</w:t>
      </w:r>
    </w:p>
    <w:p>
      <w:pPr>
        <w:pStyle w:val="BodyText"/>
      </w:pPr>
      <w:r>
        <w:t xml:space="preserve">The assessment focuses on the Judge's performance over the last fiscal year, analyzing case management within the Courts of First Instance and Instruction in the Valencia region. The review highlights the Judge's adherence to procedural norms, the quality of legal reasoning in rulings, and the maintenance of decorum in the courtroom. The findings indicate a generally high standard of judicial practice, with specific recommendations for improvement regarding case backlog management and digital integration.</w:t>
      </w:r>
    </w:p>
    <w:bookmarkEnd w:id="21"/>
    <w:bookmarkStart w:id="22" w:name="context-and-jurisdictional-framework"/>
    <w:p>
      <w:pPr>
        <w:pStyle w:val="Heading2"/>
      </w:pPr>
      <w:r>
        <w:t xml:space="preserve">2. Context and Jurisdictional Framework</w:t>
      </w:r>
    </w:p>
    <w:p>
      <w:pPr>
        <w:pStyle w:val="FirstParagraph"/>
      </w:pPr>
      <w:r>
        <w:t xml:space="preserve">The judicial landscape in</w:t>
      </w:r>
      <w:r>
        <w:t xml:space="preserve"> </w:t>
      </w:r>
      <w:r>
        <w:rPr>
          <w:bCs/>
          <w:b/>
        </w:rPr>
        <w:t xml:space="preserve">Spain Valencia</w:t>
      </w:r>
      <w:r>
        <w:t xml:space="preserve"> </w:t>
      </w:r>
      <w:r>
        <w:t xml:space="preserve">is characterized by a high volume of civil, criminal, and commercial litigation. The</w:t>
      </w:r>
      <w:r>
        <w:t xml:space="preserve"> </w:t>
      </w:r>
      <w:r>
        <w:rPr>
          <w:bCs/>
          <w:b/>
        </w:rPr>
        <w:t xml:space="preserve">Judge</w:t>
      </w:r>
      <w:r>
        <w:t xml:space="preserve"> </w:t>
      </w:r>
      <w:r>
        <w:t xml:space="preserve">under review operates within a complex legal environment that requires not only a mastery of national Spanish law but also a nuanced understanding of the specific procedural regulations applicable in the Valencian Community.</w:t>
      </w:r>
    </w:p>
    <w:p>
      <w:pPr>
        <w:pStyle w:val="BodyText"/>
      </w:pPr>
      <w:r>
        <w:t xml:space="preserve">This</w:t>
      </w:r>
      <w:r>
        <w:t xml:space="preserve"> </w:t>
      </w:r>
      <w:r>
        <w:rPr>
          <w:bCs/>
          <w:b/>
        </w:rPr>
        <w:t xml:space="preserve">Peer Review Report</w:t>
      </w:r>
      <w:r>
        <w:t xml:space="preserve"> </w:t>
      </w:r>
      <w:r>
        <w:t xml:space="preserve">evaluates the subject against the standards set by the General Council of the Judiciary (CGPJ). It is imperative that the</w:t>
      </w:r>
      <w:r>
        <w:t xml:space="preserve"> </w:t>
      </w:r>
      <w:r>
        <w:rPr>
          <w:bCs/>
          <w:b/>
        </w:rPr>
        <w:t xml:space="preserve">Judge</w:t>
      </w:r>
      <w:r>
        <w:t xml:space="preserve"> </w:t>
      </w:r>
      <w:r>
        <w:t xml:space="preserve">demonstrates an ability to navigate the intersection of federal statutes and regional administrative requirements. The review specifically examines how the Judge handles cases involving local property laws, commercial disputes prevalent in the Valencia port area, and family law matters, ensuring that the application of justice is consistent, fair, and culturally competent.</w:t>
      </w:r>
    </w:p>
    <w:bookmarkEnd w:id="22"/>
    <w:bookmarkStart w:id="23" w:name="X368649230662d9f6fc88c2644c535fc3001b908"/>
    <w:p>
      <w:pPr>
        <w:pStyle w:val="Heading2"/>
      </w:pPr>
      <w:r>
        <w:t xml:space="preserve">3. Evaluation of Judicial Reasoning and Legal Acumen</w:t>
      </w:r>
    </w:p>
    <w:p>
      <w:pPr>
        <w:pStyle w:val="FirstParagraph"/>
      </w:pPr>
      <w:r>
        <w:t xml:space="preserve">A primary component of this</w:t>
      </w:r>
      <w:r>
        <w:t xml:space="preserve"> </w:t>
      </w:r>
      <w:r>
        <w:rPr>
          <w:bCs/>
          <w:b/>
        </w:rPr>
        <w:t xml:space="preserve">Peer Review Report</w:t>
      </w:r>
      <w:r>
        <w:t xml:space="preserve"> </w:t>
      </w:r>
      <w:r>
        <w:t xml:space="preserve">is the analysis of the written judgments produced by the</w:t>
      </w:r>
      <w:r>
        <w:t xml:space="preserve"> </w:t>
      </w:r>
      <w:r>
        <w:rPr>
          <w:bCs/>
          <w:b/>
        </w:rPr>
        <w:t xml:space="preserve">Judge</w:t>
      </w:r>
      <w:r>
        <w:t xml:space="preserve">. The quality of legal reasoning is paramount in maintaining the legitimacy of the courts in</w:t>
      </w:r>
      <w:r>
        <w:t xml:space="preserve"> </w:t>
      </w:r>
      <w:r>
        <w:rPr>
          <w:bCs/>
          <w:b/>
        </w:rPr>
        <w:t xml:space="preserve">Spain Valencia</w:t>
      </w:r>
      <w:r>
        <w:t xml:space="preserve">.</w:t>
      </w:r>
    </w:p>
    <w:p>
      <w:pPr>
        <w:numPr>
          <w:ilvl w:val="0"/>
          <w:numId w:val="1001"/>
        </w:numPr>
        <w:pStyle w:val="Compact"/>
      </w:pPr>
      <w:r>
        <w:rPr>
          <w:bCs/>
          <w:b/>
        </w:rPr>
        <w:t xml:space="preserve">Clarity and Structure:</w:t>
      </w:r>
      <w:r>
        <w:t xml:space="preserve"> </w:t>
      </w:r>
      <w:r>
        <w:t xml:space="preserve">The Judge’s rulings are noted for their logical structure. The separation of facts, legal arguments, and the final decision is clear, facilitating understanding for the parties involved and higher appellate courts.</w:t>
      </w:r>
    </w:p>
    <w:p>
      <w:pPr>
        <w:numPr>
          <w:ilvl w:val="0"/>
          <w:numId w:val="1001"/>
        </w:numPr>
        <w:pStyle w:val="Compact"/>
      </w:pPr>
      <w:r>
        <w:rPr>
          <w:bCs/>
          <w:b/>
        </w:rPr>
        <w:t xml:space="preserve">Application of Law:</w:t>
      </w:r>
      <w:r>
        <w:t xml:space="preserve"> </w:t>
      </w:r>
      <w:r>
        <w:t xml:space="preserve">The review confirms that the Judge accurately applies the Spanish Civil Code and the Criminal Procedure Law. There is a demonstrated ability to interpret complex statutes relevant to the Valencia jurisdiction without overstepping judicial boundaries.</w:t>
      </w:r>
    </w:p>
    <w:p>
      <w:pPr>
        <w:numPr>
          <w:ilvl w:val="0"/>
          <w:numId w:val="1001"/>
        </w:numPr>
        <w:pStyle w:val="Compact"/>
      </w:pPr>
      <w:r>
        <w:rPr>
          <w:bCs/>
          <w:b/>
        </w:rPr>
        <w:t xml:space="preserve">Precedent Adherence:</w:t>
      </w:r>
      <w:r>
        <w:t xml:space="preserve"> </w:t>
      </w:r>
      <w:r>
        <w:t xml:space="preserve">The Judge shows a strong commitment to</w:t>
      </w:r>
      <w:r>
        <w:t xml:space="preserve"> </w:t>
      </w:r>
      <w:r>
        <w:rPr>
          <w:iCs/>
          <w:i/>
        </w:rPr>
        <w:t xml:space="preserve">jurisprudencia</w:t>
      </w:r>
      <w:r>
        <w:t xml:space="preserve">, consistently referencing relevant precedents from the Supreme Court of Spain and the High Court of Justice of the Valencian Community.</w:t>
      </w:r>
    </w:p>
    <w:p>
      <w:pPr>
        <w:pStyle w:val="FirstParagraph"/>
      </w:pPr>
      <w:r>
        <w:t xml:space="preserve">However, the report notes that in certain complex commercial cases, the legal analysis could be more exhaustive regarding international trade regulations, which are increasingly relevant to the Valencia economy.</w:t>
      </w:r>
    </w:p>
    <w:bookmarkEnd w:id="23"/>
    <w:bookmarkStart w:id="24" w:name="courtroom-conduct-and-impartiality"/>
    <w:p>
      <w:pPr>
        <w:pStyle w:val="Heading2"/>
      </w:pPr>
      <w:r>
        <w:t xml:space="preserve">4. Courtroom Conduct and Impartiality</w:t>
      </w:r>
    </w:p>
    <w:p>
      <w:pPr>
        <w:pStyle w:val="FirstParagraph"/>
      </w:pPr>
      <w:r>
        <w:t xml:space="preserve">The demeanor of a</w:t>
      </w:r>
      <w:r>
        <w:t xml:space="preserve"> </w:t>
      </w:r>
      <w:r>
        <w:rPr>
          <w:bCs/>
          <w:b/>
        </w:rPr>
        <w:t xml:space="preserve">Judge</w:t>
      </w:r>
      <w:r>
        <w:t xml:space="preserve"> </w:t>
      </w:r>
      <w:r>
        <w:t xml:space="preserve">is critical to public confidence in the justice system. This</w:t>
      </w:r>
      <w:r>
        <w:t xml:space="preserve"> </w:t>
      </w:r>
      <w:r>
        <w:rPr>
          <w:bCs/>
          <w:b/>
        </w:rPr>
        <w:t xml:space="preserve">Peer Review Report</w:t>
      </w:r>
      <w:r>
        <w:t xml:space="preserve"> </w:t>
      </w:r>
      <w:r>
        <w:t xml:space="preserve">assesses the subject’s behavior during hearings in Valencia.</w:t>
      </w:r>
    </w:p>
    <w:p>
      <w:pPr>
        <w:pStyle w:val="BodyText"/>
      </w:pPr>
      <w:r>
        <w:t xml:space="preserve">Observations indicate that the Judge maintains a high level of professionalism and impartiality. The Judge treats all litigants, regardless of their background or legal representation, with equal respect. This is particularly important in</w:t>
      </w:r>
      <w:r>
        <w:t xml:space="preserve"> </w:t>
      </w:r>
      <w:r>
        <w:rPr>
          <w:bCs/>
          <w:b/>
        </w:rPr>
        <w:t xml:space="preserve">Spain Valencia</w:t>
      </w:r>
      <w:r>
        <w:t xml:space="preserve">, where the diversity of the population requires a sensitive and inclusive approach to justice. The Judge effectively manages courtroom dynamics, ensuring that proceedings remain orderly and that the rights of the defense and prosecution are equally protected.</w:t>
      </w:r>
    </w:p>
    <w:p>
      <w:pPr>
        <w:pStyle w:val="BodyText"/>
      </w:pPr>
      <w:r>
        <w:t xml:space="preserve">No instances of bias, prejudice, or unprofessional conduct were recorded during the review period. The Judge’s ability to remain neutral while actively managing the flow of testimony is commended as a strength.</w:t>
      </w:r>
    </w:p>
    <w:bookmarkEnd w:id="24"/>
    <w:bookmarkStart w:id="25" w:name="efficiency-and-case-management"/>
    <w:p>
      <w:pPr>
        <w:pStyle w:val="Heading2"/>
      </w:pPr>
      <w:r>
        <w:t xml:space="preserve">5. Efficiency and Case Management</w:t>
      </w:r>
    </w:p>
    <w:p>
      <w:pPr>
        <w:pStyle w:val="FirstParagraph"/>
      </w:pPr>
      <w:r>
        <w:t xml:space="preserve">Efficiency is a key metric in this</w:t>
      </w:r>
      <w:r>
        <w:t xml:space="preserve"> </w:t>
      </w:r>
      <w:r>
        <w:rPr>
          <w:bCs/>
          <w:b/>
        </w:rPr>
        <w:t xml:space="preserve">Peer Review Report</w:t>
      </w:r>
      <w:r>
        <w:t xml:space="preserve">. The judicial system in</w:t>
      </w:r>
      <w:r>
        <w:t xml:space="preserve"> </w:t>
      </w:r>
      <w:r>
        <w:rPr>
          <w:bCs/>
          <w:b/>
        </w:rPr>
        <w:t xml:space="preserve">Spain Valencia</w:t>
      </w:r>
      <w:r>
        <w:t xml:space="preserve"> </w:t>
      </w:r>
      <w:r>
        <w:t xml:space="preserve">faces significant pressure due to case backlogs. The performance of the</w:t>
      </w:r>
      <w:r>
        <w:t xml:space="preserve"> </w:t>
      </w:r>
      <w:r>
        <w:rPr>
          <w:bCs/>
          <w:b/>
        </w:rPr>
        <w:t xml:space="preserve">Judge</w:t>
      </w:r>
      <w:r>
        <w:t xml:space="preserve"> </w:t>
      </w:r>
      <w:r>
        <w:t xml:space="preserve">in managing their docket is evaluated based on the time taken to resolve cases and the adherence to procedural deadlines.</w:t>
      </w:r>
    </w:p>
    <w:p>
      <w:pPr>
        <w:pStyle w:val="BodyText"/>
      </w:pPr>
      <w:r>
        <w:t xml:space="preserve">The Judge demonstrates a strong work ethic and a commitment to timely resolutions. However, the report identifies a need for improved efficiency in the scheduling of hearings. Delays in setting dates for oral arguments have been noted in a small percentage of cases. To address this, the Judge is encouraged to utilize the digital case management tools provided by the Ministry of Justice more aggressively.</w:t>
      </w:r>
    </w:p>
    <w:p>
      <w:pPr>
        <w:pStyle w:val="BodyText"/>
      </w:pPr>
      <w:r>
        <w:t xml:space="preserve">Furthermore, the adoption of alternative dispute resolution (ADR) mechanisms should be promoted more actively by the Judge to alleviate the burden on the courts in Valencia.</w:t>
      </w:r>
    </w:p>
    <w:bookmarkEnd w:id="25"/>
    <w:bookmarkStart w:id="26"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Judge</w:t>
      </w:r>
      <w:r>
        <w:t xml:space="preserve"> </w:t>
      </w:r>
      <w:r>
        <w:t xml:space="preserve">is performing their duties with integrity, competence, and dedication within the jurisdiction of</w:t>
      </w:r>
      <w:r>
        <w:t xml:space="preserve"> </w:t>
      </w:r>
      <w:r>
        <w:rPr>
          <w:bCs/>
          <w:b/>
        </w:rPr>
        <w:t xml:space="preserve">Spain Valencia</w:t>
      </w:r>
      <w:r>
        <w:t xml:space="preserve">. The Judge upholds the values of the Spanish judiciary and contributes positively to the administration of justice in the region.</w:t>
      </w:r>
    </w:p>
    <w:p>
      <w:pPr>
        <w:pStyle w:val="BodyText"/>
      </w:pPr>
      <w:r>
        <w:t xml:space="preserve">To further enhance performance, the following recommendations are made:</w:t>
      </w:r>
    </w:p>
    <w:p>
      <w:pPr>
        <w:numPr>
          <w:ilvl w:val="0"/>
          <w:numId w:val="1002"/>
        </w:numPr>
        <w:pStyle w:val="Compact"/>
      </w:pPr>
      <w:r>
        <w:t xml:space="preserve">Enhance training in international commercial law to better serve the economic needs of the Valencia region.</w:t>
      </w:r>
    </w:p>
    <w:p>
      <w:pPr>
        <w:numPr>
          <w:ilvl w:val="0"/>
          <w:numId w:val="1002"/>
        </w:numPr>
        <w:pStyle w:val="Compact"/>
      </w:pPr>
      <w:r>
        <w:t xml:space="preserve">Optimize the use of digital platforms to streamline case scheduling and reduce procedural delays.</w:t>
      </w:r>
    </w:p>
    <w:p>
      <w:pPr>
        <w:numPr>
          <w:ilvl w:val="0"/>
          <w:numId w:val="1002"/>
        </w:numPr>
        <w:pStyle w:val="Compact"/>
      </w:pPr>
      <w:r>
        <w:t xml:space="preserve">Continue to foster an inclusive courtroom environment that reflects the diversity of the Valencian community.</w:t>
      </w:r>
    </w:p>
    <w:p>
      <w:pPr>
        <w:pStyle w:val="FirstParagraph"/>
      </w:pPr>
      <w:r>
        <w:t xml:space="preserve">This report is submitted for the records of the relevant judicial oversight bodies to ensure continuous improvement and accountability in the judicial process.</w:t>
      </w:r>
    </w:p>
    <w:p>
      <w:pPr>
        <w:pStyle w:val="BodyText"/>
      </w:pPr>
      <w:r>
        <w:rPr>
          <w:bCs/>
          <w:b/>
        </w:rPr>
        <w:t xml:space="preserve">Prepared by:</w:t>
      </w:r>
      <w:r>
        <w:br/>
      </w:r>
      <w:r>
        <w:t xml:space="preserve">Senior Peer Reviewer</w:t>
      </w:r>
      <w:r>
        <w:br/>
      </w:r>
      <w:r>
        <w:t xml:space="preserve">Judicial Evaluation Committee</w:t>
      </w:r>
    </w:p>
    <w:p>
      <w:pPr>
        <w:pStyle w:val="BodyText"/>
      </w:pPr>
      <w:r>
        <w:rPr>
          <w:bCs/>
          <w:b/>
        </w:rPr>
        <w:t xml:space="preserve">Reviewed by:</w:t>
      </w:r>
      <w:r>
        <w:br/>
      </w:r>
      <w:r>
        <w:t xml:space="preserve">Head of Department</w:t>
      </w:r>
      <w:r>
        <w:br/>
      </w:r>
      <w:r>
        <w:t xml:space="preserve">Courts of Valencia</w:t>
      </w:r>
    </w:p>
    <w:p>
      <w:pPr>
        <w:pStyle w:val="BodyText"/>
      </w:pPr>
      <w:r>
        <w:t xml:space="preserve">© 2023 Judicial Peer Review Committee. All rights reserved. This document is confidential and intended solely for the use of the addressee.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2026-10-10T02:01:45Z</dcterms:created>
  <dcterms:modified xsi:type="dcterms:W3CDTF">2026-10-10T02:01:45Z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