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and Professional Conduct Assessment</w:t>
      </w:r>
    </w:p>
    <w:bookmarkEnd w:id="20"/>
    <w:p>
      <w:pPr>
        <w:pStyle w:val="BodyText"/>
      </w:pPr>
      <w:r>
        <w:t xml:space="preserve">Subject:</w:t>
      </w:r>
      <w:r>
        <w:t xml:space="preserve"> </w:t>
      </w:r>
      <w:r>
        <w:t xml:space="preserve">Honorable Judge [Name Redacted]</w:t>
      </w:r>
    </w:p>
    <w:p>
      <w:pPr>
        <w:pStyle w:val="BodyText"/>
      </w:pPr>
      <w:r>
        <w:t xml:space="preserve">Court:</w:t>
      </w:r>
      <w:r>
        <w:t xml:space="preserve"> </w:t>
      </w:r>
      <w:r>
        <w:t xml:space="preserve">High Court of Tanzania</w:t>
      </w:r>
    </w:p>
    <w:p>
      <w:pPr>
        <w:pStyle w:val="BodyText"/>
      </w:pPr>
      <w:r>
        <w:t xml:space="preserve">Location:</w:t>
      </w:r>
      <w:r>
        <w:t xml:space="preserve"> </w:t>
      </w:r>
      <w:r>
        <w:t xml:space="preserve">Dar es Salaam, Tanzania</w:t>
      </w:r>
    </w:p>
    <w:p>
      <w:pPr>
        <w:pStyle w:val="BodyText"/>
      </w:pPr>
      <w:r>
        <w:t xml:space="preserve">Review Period:</w:t>
      </w:r>
      <w:r>
        <w:t xml:space="preserve"> </w:t>
      </w:r>
      <w:r>
        <w:t xml:space="preserve">January 2023 – December 2023</w:t>
      </w:r>
    </w:p>
    <w:p>
      <w:pPr>
        <w:pStyle w:val="BodyText"/>
      </w:pPr>
      <w:r>
        <w:t xml:space="preserve">Date of Report:</w:t>
      </w:r>
      <w:r>
        <w:t xml:space="preserve"> </w:t>
      </w:r>
      <w:r>
        <w:t xml:space="preserve">February 15, 2024</w:t>
      </w:r>
    </w:p>
    <w:p>
      <w:pPr>
        <w:pStyle w:val="BodyText"/>
      </w:pPr>
      <w:r>
        <w:t xml:space="preserve">Review Panel:</w:t>
      </w:r>
      <w:r>
        <w:t xml:space="preserve"> </w:t>
      </w:r>
      <w:r>
        <w:t xml:space="preserve">Judicial Service Commission (JSC) Peer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performance, judicial temperament, and adherence to ethical standards of the subject</w:t>
      </w:r>
      <w:r>
        <w:t xml:space="preserve"> </w:t>
      </w:r>
      <w:r>
        <w:rPr>
          <w:bCs/>
          <w:b/>
        </w:rPr>
        <w:t xml:space="preserve">Judge</w:t>
      </w:r>
      <w:r>
        <w:t xml:space="preserve"> </w:t>
      </w:r>
      <w:r>
        <w:t xml:space="preserve">serving within the judicial system of</w:t>
      </w:r>
      <w:r>
        <w:t xml:space="preserve"> </w:t>
      </w:r>
      <w:r>
        <w:rPr>
          <w:bCs/>
          <w:b/>
        </w:rPr>
        <w:t xml:space="preserve">Tanzania Dar es Salaam</w:t>
      </w:r>
      <w:r>
        <w:t xml:space="preserve">. The review process was conducted in accordance with the Constitution of the United Republic of Tanzania and the Code of Conduct for Judges. The primary objective is to ensure the maintenance of high judicial standards, impartiality, and efficiency within the courts of the commercial capital.</w:t>
      </w:r>
    </w:p>
    <w:p>
      <w:pPr>
        <w:pStyle w:val="BodyText"/>
      </w:pPr>
      <w:r>
        <w:t xml:space="preserve">The assessment covers a twelve-month period during which the</w:t>
      </w:r>
      <w:r>
        <w:t xml:space="preserve"> </w:t>
      </w:r>
      <w:r>
        <w:rPr>
          <w:bCs/>
          <w:b/>
        </w:rPr>
        <w:t xml:space="preserve">Judge</w:t>
      </w:r>
      <w:r>
        <w:t xml:space="preserve"> </w:t>
      </w:r>
      <w:r>
        <w:t xml:space="preserve">presided over a significant volume of civil and commercial cases. The findings indicate a generally high level of competence and dedication to the rule of law. However, specific areas regarding case management efficiency and courtroom decorum have been identified for improvement to align with the evolving expectations of the judiciary in</w:t>
      </w:r>
      <w:r>
        <w:t xml:space="preserve"> </w:t>
      </w:r>
      <w:r>
        <w:rPr>
          <w:bCs/>
          <w:b/>
        </w:rPr>
        <w:t xml:space="preserve">Tanzania Dar es Salaam</w:t>
      </w:r>
      <w:r>
        <w:t xml:space="preserve">.</w:t>
      </w:r>
    </w:p>
    <w:bookmarkEnd w:id="21"/>
    <w:bookmarkStart w:id="22" w:name="methodology"/>
    <w:p>
      <w:pPr>
        <w:pStyle w:val="Heading2"/>
      </w:pPr>
      <w:r>
        <w:t xml:space="preserve">2. Methodology</w:t>
      </w:r>
    </w:p>
    <w:p>
      <w:pPr>
        <w:pStyle w:val="FirstParagraph"/>
      </w:pPr>
      <w:r>
        <w:t xml:space="preserve">This</w:t>
      </w:r>
      <w:r>
        <w:t xml:space="preserve"> </w:t>
      </w:r>
      <w:r>
        <w:rPr>
          <w:bCs/>
          <w:b/>
        </w:rPr>
        <w:t xml:space="preserve">Peer Review Report</w:t>
      </w:r>
      <w:r>
        <w:t xml:space="preserve"> </w:t>
      </w:r>
      <w:r>
        <w:t xml:space="preserve">was generated through a comprehensive evaluation process involving multiple stakeholders. The methodology included:</w:t>
      </w:r>
    </w:p>
    <w:p>
      <w:pPr>
        <w:numPr>
          <w:ilvl w:val="0"/>
          <w:numId w:val="1001"/>
        </w:numPr>
        <w:pStyle w:val="Compact"/>
      </w:pPr>
      <w:r>
        <w:rPr>
          <w:bCs/>
          <w:b/>
        </w:rPr>
        <w:t xml:space="preserve">Observation:</w:t>
      </w:r>
      <w:r>
        <w:t xml:space="preserve"> </w:t>
      </w:r>
      <w:r>
        <w:t xml:space="preserve">Direct observation of courtroom proceedings by senior judges and judicial officers.</w:t>
      </w:r>
    </w:p>
    <w:p>
      <w:pPr>
        <w:numPr>
          <w:ilvl w:val="0"/>
          <w:numId w:val="1001"/>
        </w:numPr>
        <w:pStyle w:val="Compact"/>
      </w:pPr>
      <w:r>
        <w:rPr>
          <w:bCs/>
          <w:b/>
        </w:rPr>
        <w:t xml:space="preserve">Case File Analysis:</w:t>
      </w:r>
      <w:r>
        <w:t xml:space="preserve"> </w:t>
      </w:r>
      <w:r>
        <w:t xml:space="preserve">A random sampling of fifty (50) case files to assess the quality of written judgments and adherence to procedural timelines.</w:t>
      </w:r>
    </w:p>
    <w:p>
      <w:pPr>
        <w:numPr>
          <w:ilvl w:val="0"/>
          <w:numId w:val="1001"/>
        </w:numPr>
        <w:pStyle w:val="Compact"/>
      </w:pPr>
      <w:r>
        <w:rPr>
          <w:bCs/>
          <w:b/>
        </w:rPr>
        <w:t xml:space="preserve">Stakeholder Feedback:</w:t>
      </w:r>
      <w:r>
        <w:t xml:space="preserve"> </w:t>
      </w:r>
      <w:r>
        <w:t xml:space="preserve">Anonymous surveys distributed to legal practitioners, court registrars, and litigants appearing before the</w:t>
      </w:r>
      <w:r>
        <w:t xml:space="preserve"> </w:t>
      </w:r>
      <w:r>
        <w:rPr>
          <w:bCs/>
          <w:b/>
        </w:rPr>
        <w:t xml:space="preserve">Judge</w:t>
      </w:r>
      <w:r>
        <w:t xml:space="preserve">.</w:t>
      </w:r>
    </w:p>
    <w:p>
      <w:pPr>
        <w:numPr>
          <w:ilvl w:val="0"/>
          <w:numId w:val="1001"/>
        </w:numPr>
        <w:pStyle w:val="Compact"/>
      </w:pPr>
      <w:r>
        <w:rPr>
          <w:bCs/>
          <w:b/>
        </w:rPr>
        <w:t xml:space="preserve">Self-Assessment:</w:t>
      </w:r>
      <w:r>
        <w:t xml:space="preserve"> </w:t>
      </w:r>
      <w:r>
        <w:t xml:space="preserve">A reflective questionnaire completed by the</w:t>
      </w:r>
      <w:r>
        <w:t xml:space="preserve"> </w:t>
      </w:r>
      <w:r>
        <w:rPr>
          <w:bCs/>
          <w:b/>
        </w:rPr>
        <w:t xml:space="preserve">Judge</w:t>
      </w:r>
      <w:r>
        <w:t xml:space="preserve"> </w:t>
      </w:r>
      <w:r>
        <w:t xml:space="preserve">regarding their own performance and challenges.</w:t>
      </w:r>
    </w:p>
    <w:p>
      <w:pPr>
        <w:pStyle w:val="FirstParagraph"/>
      </w:pPr>
      <w:r>
        <w:t xml:space="preserve">The review specifically contextualizes the</w:t>
      </w:r>
      <w:r>
        <w:t xml:space="preserve"> </w:t>
      </w:r>
      <w:r>
        <w:rPr>
          <w:bCs/>
          <w:b/>
        </w:rPr>
        <w:t xml:space="preserve">Judge</w:t>
      </w:r>
      <w:r>
        <w:t xml:space="preserve">'s performance within the unique legal environment of</w:t>
      </w:r>
      <w:r>
        <w:t xml:space="preserve"> </w:t>
      </w:r>
      <w:r>
        <w:rPr>
          <w:bCs/>
          <w:b/>
        </w:rPr>
        <w:t xml:space="preserve">Tanzania Dar es Salaam</w:t>
      </w:r>
      <w:r>
        <w:t xml:space="preserve">, considering the high caseload and the complexity of commercial disputes prevalent in the region.</w:t>
      </w:r>
    </w:p>
    <w:bookmarkEnd w:id="22"/>
    <w:bookmarkStart w:id="25" w:name="evaluation-of-judicial-competence"/>
    <w:p>
      <w:pPr>
        <w:pStyle w:val="Heading2"/>
      </w:pPr>
      <w:r>
        <w:t xml:space="preserve">3. Evaluation of Judicial Competence</w:t>
      </w:r>
    </w:p>
    <w:bookmarkStart w:id="23" w:name="legal-knowledge-and-application"/>
    <w:p>
      <w:pPr>
        <w:pStyle w:val="Heading3"/>
      </w:pPr>
      <w:r>
        <w:t xml:space="preserve">3.1 Legal Knowledge and Application</w:t>
      </w:r>
    </w:p>
    <w:p>
      <w:pPr>
        <w:pStyle w:val="FirstParagraph"/>
      </w:pPr>
      <w:r>
        <w:t xml:space="preserve">The</w:t>
      </w:r>
      <w:r>
        <w:t xml:space="preserve"> </w:t>
      </w:r>
      <w:r>
        <w:rPr>
          <w:bCs/>
          <w:b/>
        </w:rPr>
        <w:t xml:space="preserve">Judge</w:t>
      </w:r>
      <w:r>
        <w:t xml:space="preserve"> </w:t>
      </w:r>
      <w:r>
        <w:t xml:space="preserve">demonstrates a robust understanding of Tanzanian statutory law and common law principles. In the reviewed cases, the application of the Law of Contract Act and the Civil Procedure Code was accurate and well-reasoned. The</w:t>
      </w:r>
      <w:r>
        <w:t xml:space="preserve"> </w:t>
      </w:r>
      <w:r>
        <w:rPr>
          <w:bCs/>
          <w:b/>
        </w:rPr>
        <w:t xml:space="preserve">Judge</w:t>
      </w:r>
      <w:r>
        <w:t xml:space="preserve"> </w:t>
      </w:r>
      <w:r>
        <w:t xml:space="preserve">consistently cited relevant precedents from the Court of Appeal of Tanzania, ensuring consistency in jurisprudence. This is particularly vital in</w:t>
      </w:r>
      <w:r>
        <w:t xml:space="preserve"> </w:t>
      </w:r>
      <w:r>
        <w:rPr>
          <w:bCs/>
          <w:b/>
        </w:rPr>
        <w:t xml:space="preserve">Tanzania Dar es Salaam</w:t>
      </w:r>
      <w:r>
        <w:t xml:space="preserve">, where commercial certainty is paramount for economic growth.</w:t>
      </w:r>
    </w:p>
    <w:bookmarkEnd w:id="23"/>
    <w:bookmarkStart w:id="24" w:name="quality-of-judgments"/>
    <w:p>
      <w:pPr>
        <w:pStyle w:val="Heading3"/>
      </w:pPr>
      <w:r>
        <w:t xml:space="preserve">3.2 Quality of Judgments</w:t>
      </w:r>
    </w:p>
    <w:p>
      <w:pPr>
        <w:pStyle w:val="FirstParagraph"/>
      </w:pPr>
      <w:r>
        <w:t xml:space="preserve">Written judgments were found to be clear, concise, and logically structured. The</w:t>
      </w:r>
      <w:r>
        <w:t xml:space="preserve"> </w:t>
      </w:r>
      <w:r>
        <w:rPr>
          <w:bCs/>
          <w:b/>
        </w:rPr>
        <w:t xml:space="preserve">Judge</w:t>
      </w:r>
      <w:r>
        <w:t xml:space="preserve"> </w:t>
      </w:r>
      <w:r>
        <w:t xml:space="preserve">effectively distinguishes between material and immaterial facts. However, the</w:t>
      </w:r>
      <w:r>
        <w:t xml:space="preserve"> </w:t>
      </w:r>
      <w:r>
        <w:rPr>
          <w:bCs/>
          <w:b/>
        </w:rPr>
        <w:t xml:space="preserve">Peer Review Report</w:t>
      </w:r>
      <w:r>
        <w:t xml:space="preserve"> </w:t>
      </w:r>
      <w:r>
        <w:t xml:space="preserve">notes that while the legal reasoning is sound, the delivery of judgments occasionally exceeds the recommended timeframe. In a busy jurisdiction like</w:t>
      </w:r>
      <w:r>
        <w:t xml:space="preserve"> </w:t>
      </w:r>
      <w:r>
        <w:rPr>
          <w:bCs/>
          <w:b/>
        </w:rPr>
        <w:t xml:space="preserve">Tanzania Dar es Salaam</w:t>
      </w:r>
      <w:r>
        <w:t xml:space="preserve">, timely justice is as critical as correct justice.</w:t>
      </w:r>
    </w:p>
    <w:bookmarkEnd w:id="24"/>
    <w:bookmarkEnd w:id="25"/>
    <w:bookmarkStart w:id="28" w:name="judicial-temperament-and-conduct"/>
    <w:p>
      <w:pPr>
        <w:pStyle w:val="Heading2"/>
      </w:pPr>
      <w:r>
        <w:t xml:space="preserve">4. Judicial Temperament and Conduct</w:t>
      </w:r>
    </w:p>
    <w:bookmarkStart w:id="26" w:name="impartiality-and-integrity"/>
    <w:p>
      <w:pPr>
        <w:pStyle w:val="Heading3"/>
      </w:pPr>
      <w:r>
        <w:t xml:space="preserve">4.1 Impartiality and Integrity</w:t>
      </w:r>
    </w:p>
    <w:p>
      <w:pPr>
        <w:pStyle w:val="FirstParagraph"/>
      </w:pPr>
      <w:r>
        <w:t xml:space="preserve">There were no allegations of bias, corruption, or misconduct during the review period. The</w:t>
      </w:r>
      <w:r>
        <w:t xml:space="preserve"> </w:t>
      </w:r>
      <w:r>
        <w:rPr>
          <w:bCs/>
          <w:b/>
        </w:rPr>
        <w:t xml:space="preserve">Judge</w:t>
      </w:r>
      <w:r>
        <w:t xml:space="preserve"> </w:t>
      </w:r>
      <w:r>
        <w:t xml:space="preserve">maintained strict adherence to the Code of Conduct for Judges. Feedback from legal practitioners in</w:t>
      </w:r>
      <w:r>
        <w:t xml:space="preserve"> </w:t>
      </w:r>
      <w:r>
        <w:rPr>
          <w:bCs/>
          <w:b/>
        </w:rPr>
        <w:t xml:space="preserve">Tanzania Dar es Salaam</w:t>
      </w:r>
      <w:r>
        <w:t xml:space="preserve"> </w:t>
      </w:r>
      <w:r>
        <w:t xml:space="preserve">highlighted the</w:t>
      </w:r>
      <w:r>
        <w:t xml:space="preserve"> </w:t>
      </w:r>
      <w:r>
        <w:rPr>
          <w:bCs/>
          <w:b/>
        </w:rPr>
        <w:t xml:space="preserve">Judge</w:t>
      </w:r>
      <w:r>
        <w:t xml:space="preserve">'s reputation for fairness and integrity. The</w:t>
      </w:r>
      <w:r>
        <w:t xml:space="preserve"> </w:t>
      </w:r>
      <w:r>
        <w:rPr>
          <w:bCs/>
          <w:b/>
        </w:rPr>
        <w:t xml:space="preserve">Judge</w:t>
      </w:r>
      <w:r>
        <w:t xml:space="preserve"> </w:t>
      </w:r>
      <w:r>
        <w:t xml:space="preserve">successfully recused themselves in two instances where a potential conflict of interest was identified, demonstrating high ethical standards.</w:t>
      </w:r>
    </w:p>
    <w:bookmarkEnd w:id="26"/>
    <w:bookmarkStart w:id="27" w:name="courtroom-manner"/>
    <w:p>
      <w:pPr>
        <w:pStyle w:val="Heading3"/>
      </w:pPr>
      <w:r>
        <w:t xml:space="preserve">4.2 Courtroom Manner</w:t>
      </w:r>
    </w:p>
    <w:p>
      <w:pPr>
        <w:pStyle w:val="FirstParagraph"/>
      </w:pPr>
      <w:r>
        <w:t xml:space="preserve">The</w:t>
      </w:r>
      <w:r>
        <w:t xml:space="preserve"> </w:t>
      </w:r>
      <w:r>
        <w:rPr>
          <w:bCs/>
          <w:b/>
        </w:rPr>
        <w:t xml:space="preserve">Judge</w:t>
      </w:r>
      <w:r>
        <w:t xml:space="preserve"> </w:t>
      </w:r>
      <w:r>
        <w:t xml:space="preserve">generally maintains a dignified and respectful demeanor. However, the</w:t>
      </w:r>
      <w:r>
        <w:t xml:space="preserve"> </w:t>
      </w:r>
      <w:r>
        <w:rPr>
          <w:bCs/>
          <w:b/>
        </w:rPr>
        <w:t xml:space="preserve">Peer Review Report</w:t>
      </w:r>
      <w:r>
        <w:t xml:space="preserve"> </w:t>
      </w:r>
      <w:r>
        <w:t xml:space="preserve">identifies instances where the</w:t>
      </w:r>
      <w:r>
        <w:t xml:space="preserve"> </w:t>
      </w:r>
      <w:r>
        <w:rPr>
          <w:bCs/>
          <w:b/>
        </w:rPr>
        <w:t xml:space="preserve">Judge</w:t>
      </w:r>
      <w:r>
        <w:t xml:space="preserve"> </w:t>
      </w:r>
      <w:r>
        <w:t xml:space="preserve">appeared impatient with unrepresented litigants. Given the diverse demographic of court users in</w:t>
      </w:r>
      <w:r>
        <w:t xml:space="preserve"> </w:t>
      </w:r>
      <w:r>
        <w:rPr>
          <w:bCs/>
          <w:b/>
        </w:rPr>
        <w:t xml:space="preserve">Tanzania Dar es Salaam</w:t>
      </w:r>
      <w:r>
        <w:t xml:space="preserve">, it is recommended that the</w:t>
      </w:r>
      <w:r>
        <w:t xml:space="preserve"> </w:t>
      </w:r>
      <w:r>
        <w:rPr>
          <w:bCs/>
          <w:b/>
        </w:rPr>
        <w:t xml:space="preserve">Judge</w:t>
      </w:r>
      <w:r>
        <w:t xml:space="preserve"> </w:t>
      </w:r>
      <w:r>
        <w:t xml:space="preserve">exercise greater patience and provide clearer guidance to self-represented parties to ensure equal access to justice.</w:t>
      </w:r>
    </w:p>
    <w:bookmarkEnd w:id="27"/>
    <w:bookmarkEnd w:id="28"/>
    <w:bookmarkStart w:id="29" w:name="case-management-and-efficiency"/>
    <w:p>
      <w:pPr>
        <w:pStyle w:val="Heading2"/>
      </w:pPr>
      <w:r>
        <w:t xml:space="preserve">5. Case Management and Efficiency</w:t>
      </w:r>
    </w:p>
    <w:p>
      <w:pPr>
        <w:pStyle w:val="FirstParagraph"/>
      </w:pPr>
      <w:r>
        <w:t xml:space="preserve">The volume of cases assigned to the</w:t>
      </w:r>
      <w:r>
        <w:t xml:space="preserve"> </w:t>
      </w:r>
      <w:r>
        <w:rPr>
          <w:bCs/>
          <w:b/>
        </w:rPr>
        <w:t xml:space="preserve">Judge</w:t>
      </w:r>
      <w:r>
        <w:t xml:space="preserve"> </w:t>
      </w:r>
      <w:r>
        <w:t xml:space="preserve">is substantial, reflecting the heavy burden on the courts in</w:t>
      </w:r>
      <w:r>
        <w:t xml:space="preserve"> </w:t>
      </w:r>
      <w:r>
        <w:rPr>
          <w:bCs/>
          <w:b/>
        </w:rPr>
        <w:t xml:space="preserve">Tanzania Dar es Salaam</w:t>
      </w:r>
      <w:r>
        <w:t xml:space="preserve">. While the</w:t>
      </w:r>
      <w:r>
        <w:t xml:space="preserve"> </w:t>
      </w:r>
      <w:r>
        <w:rPr>
          <w:bCs/>
          <w:b/>
        </w:rPr>
        <w:t xml:space="preserve">Judge</w:t>
      </w:r>
      <w:r>
        <w:t xml:space="preserve"> </w:t>
      </w:r>
      <w:r>
        <w:t xml:space="preserve">is diligent, the</w:t>
      </w:r>
      <w:r>
        <w:t xml:space="preserve"> </w:t>
      </w:r>
      <w:r>
        <w:rPr>
          <w:bCs/>
          <w:b/>
        </w:rPr>
        <w:t xml:space="preserve">Peer Review Report</w:t>
      </w:r>
      <w:r>
        <w:t xml:space="preserve"> </w:t>
      </w:r>
      <w:r>
        <w:t xml:space="preserve">suggests improvements in case management techniques. Specifically, the use of pre-trial conferences to narrow issues and encourage settlements could be utilized more frequently. This would help reduce the backlog and ensure that the</w:t>
      </w:r>
      <w:r>
        <w:t xml:space="preserve"> </w:t>
      </w:r>
      <w:r>
        <w:rPr>
          <w:bCs/>
          <w:b/>
        </w:rPr>
        <w:t xml:space="preserve">Judge</w:t>
      </w:r>
      <w:r>
        <w:t xml:space="preserve">'s docket is processed more efficiently.</w:t>
      </w:r>
    </w:p>
    <w:p>
      <w:pPr>
        <w:pStyle w:val="BodyText"/>
      </w:pPr>
      <w:r>
        <w:t xml:space="preserve">Furthermore, the</w:t>
      </w:r>
      <w:r>
        <w:t xml:space="preserve"> </w:t>
      </w:r>
      <w:r>
        <w:rPr>
          <w:bCs/>
          <w:b/>
        </w:rPr>
        <w:t xml:space="preserve">Judge</w:t>
      </w:r>
      <w:r>
        <w:t xml:space="preserve"> </w:t>
      </w:r>
      <w:r>
        <w:t xml:space="preserve">is encouraged to leverage the electronic case management systems being rolled out across Tanzanian courts to streamline administrative tasks and focus more on substantive legal analysis.</w:t>
      </w:r>
    </w:p>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Enhance Case Management:</w:t>
      </w:r>
      <w:r>
        <w:t xml:space="preserve"> </w:t>
      </w:r>
      <w:r>
        <w:t xml:space="preserve">Adopt stricter timelines for the delivery of judgments and utilize case management tools to expedite proceedings.</w:t>
      </w:r>
    </w:p>
    <w:p>
      <w:pPr>
        <w:numPr>
          <w:ilvl w:val="0"/>
          <w:numId w:val="1002"/>
        </w:numPr>
        <w:pStyle w:val="Compact"/>
      </w:pPr>
      <w:r>
        <w:rPr>
          <w:bCs/>
          <w:b/>
        </w:rPr>
        <w:t xml:space="preserve">Professional Development:</w:t>
      </w:r>
      <w:r>
        <w:t xml:space="preserve"> </w:t>
      </w:r>
      <w:r>
        <w:t xml:space="preserve">Participate in advanced training workshops on commercial law and alternative dispute resolution, specifically tailored for the context of</w:t>
      </w:r>
      <w:r>
        <w:t xml:space="preserve"> </w:t>
      </w:r>
      <w:r>
        <w:rPr>
          <w:bCs/>
          <w:b/>
        </w:rPr>
        <w:t xml:space="preserve">Tanzania Dar es Salaam</w:t>
      </w:r>
      <w:r>
        <w:t xml:space="preserve">.</w:t>
      </w:r>
    </w:p>
    <w:p>
      <w:pPr>
        <w:numPr>
          <w:ilvl w:val="0"/>
          <w:numId w:val="1002"/>
        </w:numPr>
        <w:pStyle w:val="Compact"/>
      </w:pPr>
      <w:r>
        <w:rPr>
          <w:bCs/>
          <w:b/>
        </w:rPr>
        <w:t xml:space="preserve">Communication Skills:</w:t>
      </w:r>
      <w:r>
        <w:t xml:space="preserve"> </w:t>
      </w:r>
      <w:r>
        <w:t xml:space="preserve">Engage in training focused on courtroom communication, particularly regarding interactions with unrepresented litigants, to foster a more inclusive judicial environment.</w:t>
      </w:r>
    </w:p>
    <w:p>
      <w:pPr>
        <w:numPr>
          <w:ilvl w:val="0"/>
          <w:numId w:val="1002"/>
        </w:numPr>
        <w:pStyle w:val="Compact"/>
      </w:pPr>
      <w:r>
        <w:rPr>
          <w:bCs/>
          <w:b/>
        </w:rPr>
        <w:t xml:space="preserve">Mentorship:</w:t>
      </w:r>
      <w:r>
        <w:t xml:space="preserve"> </w:t>
      </w:r>
      <w:r>
        <w:t xml:space="preserve">Consider mentoring junior judicial officers to share expertise and contribute to the overall capacity building of the judiciary in the region.</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competent and ethical judicial officer who contributes positively to the administration of justice in</w:t>
      </w:r>
      <w:r>
        <w:t xml:space="preserve"> </w:t>
      </w:r>
      <w:r>
        <w:rPr>
          <w:bCs/>
          <w:b/>
        </w:rPr>
        <w:t xml:space="preserve">Tanzania Dar es Salaam</w:t>
      </w:r>
      <w:r>
        <w:t xml:space="preserve">. The identified areas for improvement are minor and addressable through targeted professional development. The continued commitment of the</w:t>
      </w:r>
      <w:r>
        <w:t xml:space="preserve"> </w:t>
      </w:r>
      <w:r>
        <w:rPr>
          <w:bCs/>
          <w:b/>
        </w:rPr>
        <w:t xml:space="preserve">Judge</w:t>
      </w:r>
      <w:r>
        <w:t xml:space="preserve"> </w:t>
      </w:r>
      <w:r>
        <w:t xml:space="preserve">to upholding the rule of law is essential for maintaining public confidence in the judiciary. It is the recommendation of the review panel that the</w:t>
      </w:r>
      <w:r>
        <w:t xml:space="preserve"> </w:t>
      </w:r>
      <w:r>
        <w:rPr>
          <w:bCs/>
          <w:b/>
        </w:rPr>
        <w:t xml:space="preserve">Judge</w:t>
      </w:r>
      <w:r>
        <w:t xml:space="preserve"> </w:t>
      </w:r>
      <w:r>
        <w:t xml:space="preserve">be commended for their service and encouraged to implement the suggested improvements.</w:t>
      </w:r>
    </w:p>
    <w:p>
      <w:pPr>
        <w:pStyle w:val="BodyText"/>
      </w:pPr>
      <w:r>
        <w:rPr>
          <w:bCs/>
          <w:b/>
        </w:rPr>
        <w:t xml:space="preserve">Chairperson, Peer Review Panel</w:t>
      </w:r>
    </w:p>
    <w:p>
      <w:pPr>
        <w:pStyle w:val="BodyText"/>
      </w:pPr>
      <w:r>
        <w:t xml:space="preserve">High Court of Tanzania</w:t>
      </w:r>
    </w:p>
    <w:p>
      <w:pPr>
        <w:pStyle w:val="BodyText"/>
      </w:pPr>
      <w:r>
        <w:t xml:space="preserve">Signature: ___________________</w:t>
      </w:r>
    </w:p>
    <w:p>
      <w:pPr>
        <w:pStyle w:val="BodyText"/>
      </w:pPr>
      <w:r>
        <w:rPr>
          <w:bCs/>
          <w:b/>
        </w:rPr>
        <w:t xml:space="preserve">Secretary, Judicial Service Commission</w:t>
      </w:r>
    </w:p>
    <w:p>
      <w:pPr>
        <w:pStyle w:val="BodyText"/>
      </w:pPr>
      <w:r>
        <w:t xml:space="preserve">Dar es Salaam, Tanzania</w:t>
      </w:r>
    </w:p>
    <w:p>
      <w:pPr>
        <w:pStyle w:val="BodyText"/>
      </w:pPr>
      <w:r>
        <w:t xml:space="preserve">Signature: ___________________</w:t>
      </w:r>
    </w:p>
    <w:p>
      <w:pPr>
        <w:pStyle w:val="BodyText"/>
      </w:pPr>
      <w:r>
        <w:t xml:space="preserve">Confidential Document – For Official Use Only. This Peer Review Report is the property of the Judicial Service Commission of Tanzania.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2026-10-10T03:20:11Z</dcterms:created>
  <dcterms:modified xsi:type="dcterms:W3CDTF">2026-10-10T03:20:11Z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