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Ankara,</w:t>
      </w:r>
      <w:r>
        <w:t xml:space="preserve"> </w:t>
      </w:r>
      <w:r>
        <w:t xml:space="preserve">Turkey</w:t>
      </w:r>
    </w:p>
    <w:bookmarkStart w:id="20" w:name="Xb3a39476a87361a95de5ef3e13942a79e8e2770"/>
    <w:p>
      <w:pPr>
        <w:pStyle w:val="Heading1"/>
      </w:pPr>
      <w:r>
        <w:t xml:space="preserve">Peer Review Report: Judicial Performance Evaluation</w:t>
      </w:r>
    </w:p>
    <w:p>
      <w:pPr>
        <w:pStyle w:val="FirstParagraph"/>
      </w:pPr>
      <w:r>
        <w:t xml:space="preserve">Jurisdiction:</w:t>
      </w:r>
      <w:r>
        <w:t xml:space="preserve"> </w:t>
      </w:r>
      <w:r>
        <w:t xml:space="preserve">Ankara, Turkey</w:t>
      </w:r>
    </w:p>
    <w:p>
      <w:pPr>
        <w:pStyle w:val="BodyText"/>
      </w:pPr>
      <w:r>
        <w:t xml:space="preserve">Court:</w:t>
      </w:r>
      <w:r>
        <w:t xml:space="preserve"> </w:t>
      </w:r>
      <w:r>
        <w:t xml:space="preserve">Ankara 1st Criminal Court of First Instance</w:t>
      </w:r>
    </w:p>
    <w:p>
      <w:pPr>
        <w:pStyle w:val="BodyText"/>
      </w:pPr>
      <w:r>
        <w:t xml:space="preserve">Date of Review:</w:t>
      </w:r>
      <w:r>
        <w:t xml:space="preserve"> </w:t>
      </w:r>
      <w:r>
        <w:t xml:space="preserve">October 24, 2023</w:t>
      </w:r>
    </w:p>
    <w:p>
      <w:pPr>
        <w:pStyle w:val="BodyText"/>
      </w:pPr>
      <w:r>
        <w:t xml:space="preserve">Report ID:</w:t>
      </w:r>
      <w:r>
        <w:t xml:space="preserve"> </w:t>
      </w:r>
      <w:r>
        <w:t xml:space="preserve">TR-ANK-JUD-2023-089</w:t>
      </w:r>
    </w:p>
    <w:p>
      <w:pPr>
        <w:pStyle w:val="BodyText"/>
      </w:pPr>
      <w:r>
        <w:t xml:space="preserve">Review Type:</w:t>
      </w:r>
      <w:r>
        <w:t xml:space="preserve"> </w:t>
      </w:r>
      <w:r>
        <w:t xml:space="preserve">Annual Peer Assessment</w:t>
      </w:r>
    </w:p>
    <w:p>
      <w:pPr>
        <w:pStyle w:val="BodyText"/>
      </w:pPr>
      <w:r>
        <w:t xml:space="preserve">Confidentiality:</w:t>
      </w:r>
      <w:r>
        <w:t xml:space="preserve"> </w:t>
      </w:r>
      <w:r>
        <w:t xml:space="preserve">Restricted Access</w:t>
      </w:r>
    </w:p>
    <w:bookmarkEnd w:id="20"/>
    <w:bookmarkStart w:id="21" w:name="executive-summary"/>
    <w:p>
      <w:pPr>
        <w:pStyle w:val="Heading2"/>
      </w:pPr>
      <w:r>
        <w:t xml:space="preserve">1. Executive Summary</w:t>
      </w:r>
    </w:p>
    <w:p>
      <w:pPr>
        <w:pStyle w:val="FirstParagraph"/>
      </w:pPr>
      <w:r>
        <w:t xml:space="preserve">This Peer Review Report has been prepared in accordance with the standards set forth by the Council of Judges and Prosecutors (HSYK) of Turkey. The purpose of this document is to evaluate the professional performance, judicial conduct, and case management efficiency of the subject Judge assigned to the Ankara 1st Criminal Court of First Instance. As Ankara serves as the capital and the primary judicial hub of the Republic of Turkey, the volume and complexity of cases handled by judges in this jurisdiction are significantly higher than the national average. Consequently, this review places particular emphasis on the Judge's ability to maintain procedural rigor, uphold the rule of law, and manage a heavy caseload within the specific legal and cultural context of Turkey's capital.</w:t>
      </w:r>
    </w:p>
    <w:p>
      <w:pPr>
        <w:pStyle w:val="BodyText"/>
      </w:pPr>
      <w:r>
        <w:t xml:space="preserve">The evaluation period covers the last twelve months of judicial service. The findings presented herein are based on a comprehensive analysis of case files, courtroom observations, feedback from legal practitioners, and adherence to the Turkish Code of Criminal Procedure. The overall assessment indicates a high level of professional competence, with specific recommendations provided for enhancing digital case management and cross-cultural communication within the diverse legal environment of Ankara.</w:t>
      </w:r>
    </w:p>
    <w:bookmarkEnd w:id="21"/>
    <w:bookmarkStart w:id="22" w:name="methodology-and-scope"/>
    <w:p>
      <w:pPr>
        <w:pStyle w:val="Heading2"/>
      </w:pPr>
      <w:r>
        <w:t xml:space="preserve">2. Methodology and Scope</w:t>
      </w:r>
    </w:p>
    <w:p>
      <w:pPr>
        <w:pStyle w:val="FirstParagraph"/>
      </w:pPr>
      <w:r>
        <w:t xml:space="preserve">This Peer Review Report utilizes a multi-faceted approach to ensure objectivity and fairness. The review process involved the following key activities:</w:t>
      </w:r>
    </w:p>
    <w:p>
      <w:pPr>
        <w:numPr>
          <w:ilvl w:val="0"/>
          <w:numId w:val="1001"/>
        </w:numPr>
        <w:pStyle w:val="Compact"/>
      </w:pPr>
      <w:r>
        <w:rPr>
          <w:bCs/>
          <w:b/>
        </w:rPr>
        <w:t xml:space="preserve">Case File Analysis:</w:t>
      </w:r>
      <w:r>
        <w:t xml:space="preserve"> </w:t>
      </w:r>
      <w:r>
        <w:t xml:space="preserve">A random sample of 50 concluded cases was reviewed to assess the quality of written judgments, legal reasoning, and citation of relevant Turkish statutes and precedents.</w:t>
      </w:r>
    </w:p>
    <w:p>
      <w:pPr>
        <w:numPr>
          <w:ilvl w:val="0"/>
          <w:numId w:val="1001"/>
        </w:numPr>
        <w:pStyle w:val="Compact"/>
      </w:pPr>
      <w:r>
        <w:rPr>
          <w:bCs/>
          <w:b/>
        </w:rPr>
        <w:t xml:space="preserve">Courtroom Observation:</w:t>
      </w:r>
      <w:r>
        <w:t xml:space="preserve"> </w:t>
      </w:r>
      <w:r>
        <w:t xml:space="preserve">Three live hearings were observed to evaluate the Judge's demeanor, control of the courtroom, and interaction with parties, lawyers, and witnesses.</w:t>
      </w:r>
    </w:p>
    <w:p>
      <w:pPr>
        <w:numPr>
          <w:ilvl w:val="0"/>
          <w:numId w:val="1001"/>
        </w:numPr>
        <w:pStyle w:val="Compact"/>
      </w:pPr>
      <w:r>
        <w:rPr>
          <w:bCs/>
          <w:b/>
        </w:rPr>
        <w:t xml:space="preserve">Stakeholder Feedback:</w:t>
      </w:r>
      <w:r>
        <w:t xml:space="preserve"> </w:t>
      </w:r>
      <w:r>
        <w:t xml:space="preserve">Anonymous surveys were distributed to practicing attorneys and court staff in Ankara to gather insights on the Judge's accessibility and professionalism.</w:t>
      </w:r>
    </w:p>
    <w:p>
      <w:pPr>
        <w:numPr>
          <w:ilvl w:val="0"/>
          <w:numId w:val="1001"/>
        </w:numPr>
        <w:pStyle w:val="Compact"/>
      </w:pPr>
      <w:r>
        <w:rPr>
          <w:bCs/>
          <w:b/>
        </w:rPr>
        <w:t xml:space="preserve">Performance Metrics:</w:t>
      </w:r>
      <w:r>
        <w:t xml:space="preserve"> </w:t>
      </w:r>
      <w:r>
        <w:t xml:space="preserve">Data regarding case clearance rates, average duration of proceedings, and appeal rates were extracted from the national judicial information system.</w:t>
      </w:r>
    </w:p>
    <w:p>
      <w:pPr>
        <w:pStyle w:val="FirstParagraph"/>
      </w:pPr>
      <w:r>
        <w:t xml:space="preserve">The scope of this review is strictly limited to professional performance and judicial ethics. It does not address personal matters unrelated to official duties.</w:t>
      </w:r>
    </w:p>
    <w:bookmarkEnd w:id="22"/>
    <w:bookmarkStart w:id="27" w:name="detailed-evaluation-criteria"/>
    <w:p>
      <w:pPr>
        <w:pStyle w:val="Heading2"/>
      </w:pPr>
      <w:r>
        <w:t xml:space="preserve">3. Detailed Evaluation Criteria</w:t>
      </w:r>
    </w:p>
    <w:bookmarkStart w:id="23" w:name="legal-knowledge-and-application"/>
    <w:p>
      <w:pPr>
        <w:pStyle w:val="Heading3"/>
      </w:pPr>
      <w:r>
        <w:t xml:space="preserve">3.1 Legal Knowledge and Application</w:t>
      </w:r>
    </w:p>
    <w:p>
      <w:pPr>
        <w:pStyle w:val="FirstParagraph"/>
      </w:pPr>
      <w:r>
        <w:t xml:space="preserve">The Judge demonstrates an exceptional command of Turkish law, particularly in the areas of criminal law and procedural regulations. In the reviewed case files, the legal reasoning was consistently sound, with accurate application of the Turkish Penal Code and relevant jurisprudence from the Court of Cassation. The Judge showed a nuanced understanding of complex legal issues, including those involving cybercrime and financial fraud, which are increasingly prevalent in Ankara's urban legal landscape. The written judgments were clear, well-structured, and free from significant legal errors.</w:t>
      </w:r>
    </w:p>
    <w:bookmarkEnd w:id="23"/>
    <w:bookmarkStart w:id="24" w:name="judicial-conduct-and-impartiality"/>
    <w:p>
      <w:pPr>
        <w:pStyle w:val="Heading3"/>
      </w:pPr>
      <w:r>
        <w:t xml:space="preserve">3.2 Judicial Conduct and Impartiality</w:t>
      </w:r>
    </w:p>
    <w:p>
      <w:pPr>
        <w:pStyle w:val="FirstParagraph"/>
      </w:pPr>
      <w:r>
        <w:t xml:space="preserve">Impartiality is a cornerstone of judicial integrity. Throughout the observed hearings, the Judge maintained a neutral and respectful demeanor towards all parties involved. There were no indications of bias, prejudice, or favoritism. The Judge effectively managed conflicts between opposing counsel and ensured that all participants, including vulnerable witnesses, were treated with dignity. This conduct aligns perfectly with the ethical standards expected of judges in Turkey and reinforces public trust in the judiciary.</w:t>
      </w:r>
    </w:p>
    <w:bookmarkEnd w:id="24"/>
    <w:bookmarkStart w:id="25" w:name="case-management-and-efficiency"/>
    <w:p>
      <w:pPr>
        <w:pStyle w:val="Heading3"/>
      </w:pPr>
      <w:r>
        <w:t xml:space="preserve">3.3 Case Management and Efficiency</w:t>
      </w:r>
    </w:p>
    <w:p>
      <w:pPr>
        <w:pStyle w:val="FirstParagraph"/>
      </w:pPr>
      <w:r>
        <w:t xml:space="preserve">Given the high caseload typical of courts in Ankara, efficient case management is critical. The Judge has demonstrated a strong ability to prioritize cases and adhere to statutory deadlines. The average duration of proceedings for the reviewed cases was below the national average for similar case types. However, there is room for improvement in the utilization of digital tools for scheduling and document management, which could further enhance efficiency.</w:t>
      </w:r>
    </w:p>
    <w:bookmarkEnd w:id="25"/>
    <w:bookmarkStart w:id="26" w:name="communication-and-clarity"/>
    <w:p>
      <w:pPr>
        <w:pStyle w:val="Heading3"/>
      </w:pPr>
      <w:r>
        <w:t xml:space="preserve">3.4 Communication and Clarity</w:t>
      </w:r>
    </w:p>
    <w:p>
      <w:pPr>
        <w:pStyle w:val="FirstParagraph"/>
      </w:pPr>
      <w:r>
        <w:t xml:space="preserve">The Judge's oral and written communication skills are highly effective. Courtroom instructions were delivered clearly, ensuring that all parties understood the procedural requirements. Written judgments were articulate and accessible, avoiding unnecessary legal jargon where possible. This clarity is particularly important in Ankara, where cases often involve parties from diverse linguistic and cultural backgrounds.</w:t>
      </w:r>
    </w:p>
    <w:bookmarkEnd w:id="26"/>
    <w:bookmarkEnd w:id="27"/>
    <w:bookmarkStart w:id="28" w:name="performance-scoring"/>
    <w:p>
      <w:pPr>
        <w:pStyle w:val="Heading2"/>
      </w:pPr>
      <w:r>
        <w:t xml:space="preserve">4. Performance Scoring</w:t>
      </w:r>
    </w:p>
    <w:p>
      <w:pPr>
        <w:pStyle w:val="FirstParagraph"/>
      </w:pPr>
      <w:r>
        <w:t xml:space="preserve">Legal Knowledge and Application</w:t>
      </w:r>
      <w:r>
        <w:t xml:space="preserve"> </w:t>
      </w:r>
      <w:r>
        <w:t xml:space="preserve">9.5 / 10</w:t>
      </w:r>
    </w:p>
    <w:p>
      <w:pPr>
        <w:pStyle w:val="BodyText"/>
      </w:pPr>
      <w:r>
        <w:t xml:space="preserve">Judicial Conduct and Impartiality</w:t>
      </w:r>
      <w:r>
        <w:t xml:space="preserve"> </w:t>
      </w:r>
      <w:r>
        <w:t xml:space="preserve">10 / 10</w:t>
      </w:r>
    </w:p>
    <w:p>
      <w:pPr>
        <w:pStyle w:val="BodyText"/>
      </w:pPr>
      <w:r>
        <w:t xml:space="preserve">Case Management and Efficiency</w:t>
      </w:r>
      <w:r>
        <w:t xml:space="preserve"> </w:t>
      </w:r>
      <w:r>
        <w:t xml:space="preserve">8.5 / 10</w:t>
      </w:r>
    </w:p>
    <w:p>
      <w:pPr>
        <w:pStyle w:val="BodyText"/>
      </w:pPr>
      <w:r>
        <w:t xml:space="preserve">Communication and Clarity</w:t>
      </w:r>
      <w:r>
        <w:t xml:space="preserve"> </w:t>
      </w:r>
      <w:r>
        <w:t xml:space="preserve">9.0 / 10</w:t>
      </w:r>
    </w:p>
    <w:p>
      <w:pPr>
        <w:pStyle w:val="BodyText"/>
      </w:pPr>
      <w:r>
        <w:rPr>
          <w:bCs/>
          <w:b/>
        </w:rPr>
        <w:t xml:space="preserve">Overall Performance Score</w:t>
      </w:r>
      <w:r>
        <w:t xml:space="preserve"> </w:t>
      </w:r>
      <w:r>
        <w:rPr>
          <w:bCs/>
          <w:b/>
        </w:rPr>
        <w:t xml:space="preserve">9.25 / 10</w:t>
      </w:r>
    </w:p>
    <w:bookmarkEnd w:id="28"/>
    <w:bookmarkStart w:id="29" w:name="Xeed892823e6bcfd01986a29df04431ac6287ad6"/>
    <w:p>
      <w:pPr>
        <w:pStyle w:val="Heading2"/>
      </w:pPr>
      <w:r>
        <w:t xml:space="preserve">5. Recommendations and Areas for Improvement</w:t>
      </w:r>
    </w:p>
    <w:p>
      <w:pPr>
        <w:pStyle w:val="FirstParagraph"/>
      </w:pPr>
      <w:r>
        <w:t xml:space="preserve">While the Judge's performance is commendable, the following recommendations are made to further enhance judicial effectiveness in the context of Ankara's dynamic legal environment:</w:t>
      </w:r>
    </w:p>
    <w:p>
      <w:pPr>
        <w:numPr>
          <w:ilvl w:val="0"/>
          <w:numId w:val="1002"/>
        </w:numPr>
        <w:pStyle w:val="Compact"/>
      </w:pPr>
      <w:r>
        <w:rPr>
          <w:bCs/>
          <w:b/>
        </w:rPr>
        <w:t xml:space="preserve">Enhanced Digital Literacy:</w:t>
      </w:r>
      <w:r>
        <w:t xml:space="preserve"> </w:t>
      </w:r>
      <w:r>
        <w:t xml:space="preserve">It is recommended that the Judge undergo advanced training in the latest digital case management systems implemented by the Turkish Ministry of Justice. This will help streamline administrative tasks and reduce processing times.</w:t>
      </w:r>
    </w:p>
    <w:p>
      <w:pPr>
        <w:numPr>
          <w:ilvl w:val="0"/>
          <w:numId w:val="1002"/>
        </w:numPr>
        <w:pStyle w:val="Compact"/>
      </w:pPr>
      <w:r>
        <w:rPr>
          <w:bCs/>
          <w:b/>
        </w:rPr>
        <w:t xml:space="preserve">Specialized Training:</w:t>
      </w:r>
      <w:r>
        <w:t xml:space="preserve"> </w:t>
      </w:r>
      <w:r>
        <w:t xml:space="preserve">Given the increasing complexity of financial and cybercrimes in Ankara, participation in specialized seminars on these topics would be beneficial.</w:t>
      </w:r>
    </w:p>
    <w:p>
      <w:pPr>
        <w:numPr>
          <w:ilvl w:val="0"/>
          <w:numId w:val="1002"/>
        </w:numPr>
        <w:pStyle w:val="Compact"/>
      </w:pPr>
      <w:r>
        <w:rPr>
          <w:bCs/>
          <w:b/>
        </w:rPr>
        <w:t xml:space="preserve">Mentorship Role:</w:t>
      </w:r>
      <w:r>
        <w:t xml:space="preserve"> </w:t>
      </w:r>
      <w:r>
        <w:t xml:space="preserve">The Judge is encouraged to take on a mentorship role for junior judges and law clerks, sharing best practices in case management and judicial writing.</w:t>
      </w:r>
    </w:p>
    <w:bookmarkEnd w:id="29"/>
    <w:bookmarkStart w:id="30" w:name="conclusion"/>
    <w:p>
      <w:pPr>
        <w:pStyle w:val="Heading2"/>
      </w:pPr>
      <w:r>
        <w:t xml:space="preserve">6. Conclusion</w:t>
      </w:r>
    </w:p>
    <w:p>
      <w:pPr>
        <w:pStyle w:val="FirstParagraph"/>
      </w:pPr>
      <w:r>
        <w:t xml:space="preserve">This Peer Review Report concludes that the Judge under evaluation is performing at a high level of professionalism and competence. The Judge's contributions to the Ankara judiciary are significant, and their adherence to legal and ethical standards is exemplary. The recommendations provided are intended to support continuous professional development and further strengthen the quality of justice delivered in Turkey's capital. This report will be submitted to the relevant authorities for consideration in future performance evaluations and career advancement decisions.</w:t>
      </w:r>
    </w:p>
    <w:bookmarkEnd w:id="30"/>
    <w:p>
      <w:pPr>
        <w:pStyle w:val="BodyText"/>
      </w:pPr>
      <w:r>
        <w:rPr>
          <w:bCs/>
          <w:b/>
        </w:rPr>
        <w:t xml:space="preserve">Lead Reviewer:</w:t>
      </w:r>
      <w:r>
        <w:br/>
      </w:r>
      <w:r>
        <w:t xml:space="preserve">Senior Judge A. Yılmaz</w:t>
      </w:r>
      <w:r>
        <w:br/>
      </w:r>
      <w:r>
        <w:t xml:space="preserve">Ankara Court of Appeals</w:t>
      </w:r>
    </w:p>
    <w:p>
      <w:pPr>
        <w:pStyle w:val="BodyText"/>
      </w:pPr>
      <w:r>
        <w:rPr>
          <w:bCs/>
          <w:b/>
        </w:rPr>
        <w:t xml:space="preserve">Co-Reviewer:</w:t>
      </w:r>
      <w:r>
        <w:br/>
      </w:r>
      <w:r>
        <w:t xml:space="preserve">Prof. Dr. M. Kaya</w:t>
      </w:r>
      <w:r>
        <w:br/>
      </w:r>
      <w:r>
        <w:t xml:space="preserve">Ankara University Law Faculty</w:t>
      </w:r>
    </w:p>
    <w:p>
      <w:pPr>
        <w:pStyle w:val="BodyText"/>
      </w:pPr>
      <w:r>
        <w:t xml:space="preserve">© 2023 Judicial Peer Review Committee - Ankara, Turkey.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Ankara, Turkey</dc:title>
  <dc:creator/>
  <dc:language>en</dc:language>
  <cp:keywords/>
  <dcterms:created xsi:type="dcterms:W3CDTF">2026-10-10T04:43:11Z</dcterms:created>
  <dcterms:modified xsi:type="dcterms:W3CDTF">2026-10-10T04:43:11Z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