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Istanbul,</w:t>
      </w:r>
      <w:r>
        <w:t xml:space="preserve"> </w:t>
      </w:r>
      <w:r>
        <w:t xml:space="preserve">Turkey</w:t>
      </w:r>
    </w:p>
    <w:bookmarkStart w:id="33" w:name="Xddf777d9062b52323034ceec7953f90a925b7c0"/>
    <w:p>
      <w:pPr>
        <w:pStyle w:val="Heading1"/>
      </w:pPr>
      <w:r>
        <w:t xml:space="preserve">Peer Review Report: Judicial Performance and Professional Conduct</w:t>
      </w:r>
    </w:p>
    <w:p>
      <w:pPr>
        <w:pStyle w:val="FirstParagraph"/>
      </w:pPr>
      <w:r>
        <w:rPr>
          <w:bCs/>
          <w:b/>
        </w:rPr>
        <w:t xml:space="preserve">Subject:</w:t>
      </w:r>
      <w:r>
        <w:t xml:space="preserve"> </w:t>
      </w:r>
      <w:r>
        <w:t xml:space="preserve">Evaluation of Judicial Performance (Judge)</w:t>
      </w:r>
    </w:p>
    <w:p>
      <w:pPr>
        <w:pStyle w:val="BodyText"/>
      </w:pPr>
      <w:r>
        <w:rPr>
          <w:bCs/>
          <w:b/>
        </w:rPr>
        <w:t xml:space="preserve">Location:</w:t>
      </w:r>
      <w:r>
        <w:t xml:space="preserve"> </w:t>
      </w:r>
      <w:r>
        <w:t xml:space="preserve">Istanbul, Turkey</w:t>
      </w:r>
    </w:p>
    <w:p>
      <w:pPr>
        <w:pStyle w:val="BodyText"/>
      </w:pPr>
      <w:r>
        <w:rPr>
          <w:bCs/>
          <w:b/>
        </w:rPr>
        <w:t xml:space="preserve">Reviewing Body:</w:t>
      </w:r>
      <w:r>
        <w:t xml:space="preserve"> </w:t>
      </w:r>
      <w:r>
        <w:t xml:space="preserve">Istanbul Judicial Peer Review Committee</w:t>
      </w:r>
    </w:p>
    <w:p>
      <w:pPr>
        <w:pStyle w:val="BodyText"/>
      </w:pPr>
      <w:r>
        <w:rPr>
          <w:bCs/>
          <w:b/>
        </w:rPr>
        <w:t xml:space="preserve">Date of Report:</w:t>
      </w:r>
      <w:r>
        <w:t xml:space="preserve"> </w:t>
      </w:r>
      <w:r>
        <w:t xml:space="preserve">October 24, 2023</w:t>
      </w:r>
    </w:p>
    <w:p>
      <w:pPr>
        <w:pStyle w:val="BodyText"/>
      </w:pPr>
      <w:r>
        <w:rPr>
          <w:bCs/>
          <w:b/>
        </w:rPr>
        <w:t xml:space="preserve">Reference ID:</w:t>
      </w:r>
      <w:r>
        <w:t xml:space="preserve"> </w:t>
      </w:r>
      <w:r>
        <w:t xml:space="preserve">IST-JPR-2023-089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legal acumen, and administrative efficiency of a sitting Judge within the judicial system of Istanbul, Turkey. As the largest metropolis in Turkey, Istanbul presents a unique and demanding environment for the judiciary. The sheer volume of cases, the diversity of the population, and the complexity of commercial and civil disputes require a Judge of exceptional capability. This report aims to provide an objective, evidence-based assessment of the subject's performance, ensuring alignment with the standards set by the Council of Judges and Prosecutors (HSYK) and the broader principles of the rule of law in Turkey.</w:t>
      </w:r>
    </w:p>
    <w:bookmarkEnd w:id="20"/>
    <w:bookmarkStart w:id="21" w:name="X38f04596a78cf3df991beb17b6e5f43a25bc9f9"/>
    <w:p>
      <w:pPr>
        <w:pStyle w:val="Heading2"/>
      </w:pPr>
      <w:r>
        <w:t xml:space="preserve">2. Contextual Framework: The Istanbul Judiciary</w:t>
      </w:r>
    </w:p>
    <w:p>
      <w:pPr>
        <w:pStyle w:val="FirstParagraph"/>
      </w:pPr>
      <w:r>
        <w:t xml:space="preserve">To accurately assess a Judge in this region, one must understand the specific pressures of the Istanbul courts. Istanbul serves as the economic heart of Turkey, hosting a significant portion of the nation's commercial activity. Consequently, the courts here deal with high-stakes litigation involving international trade, complex property rights, and intricate family law matters involving diverse cultural backgrounds.</w:t>
      </w:r>
    </w:p>
    <w:p>
      <w:pPr>
        <w:pStyle w:val="BodyText"/>
      </w:pPr>
      <w:r>
        <w:t xml:space="preserve">The role of a Judge in Istanbul is not merely to interpret the law but to manage a heavy caseload while maintaining the dignity and impartiality of the institution. This review considers how the subject navigates these specific local challenges, balancing the need for judicial efficiency with the constitutional right to a fair trial.</w:t>
      </w:r>
    </w:p>
    <w:bookmarkEnd w:id="21"/>
    <w:bookmarkStart w:id="24" w:name="Xd82430a106f77050c9589984939b2647102bc67"/>
    <w:p>
      <w:pPr>
        <w:pStyle w:val="Heading2"/>
      </w:pPr>
      <w:r>
        <w:t xml:space="preserve">3. Assessment of Legal Competence and Reasoning</w:t>
      </w:r>
    </w:p>
    <w:p>
      <w:pPr>
        <w:pStyle w:val="FirstParagraph"/>
      </w:pPr>
      <w:r>
        <w:t xml:space="preserve">The primary function of a Judge is the accurate application of law to facts. During the review period, the subject's written judgments were analyzed for legal coherence, citation accuracy, and logical consistency.</w:t>
      </w:r>
    </w:p>
    <w:bookmarkStart w:id="22" w:name="quality-of-judgments"/>
    <w:p>
      <w:pPr>
        <w:pStyle w:val="Heading3"/>
      </w:pPr>
      <w:r>
        <w:t xml:space="preserve">3.1 Quality of Judgments</w:t>
      </w:r>
    </w:p>
    <w:p>
      <w:pPr>
        <w:pStyle w:val="FirstParagraph"/>
      </w:pPr>
      <w:r>
        <w:t xml:space="preserve">The Judge demonstrates a robust understanding of the Turkish Civil Code and the Turkish Code of Obligations. The reasoning provided in the judgments is generally clear, allowing the parties to understand the basis of the decision. However, in complex commercial cases, there is room for improvement in the depth of analysis regarding international legal precedents that may influence domestic rulings in Istanbul's globalized market.</w:t>
      </w:r>
    </w:p>
    <w:bookmarkEnd w:id="22"/>
    <w:bookmarkStart w:id="23" w:name="adherence-to-precedent"/>
    <w:p>
      <w:pPr>
        <w:pStyle w:val="Heading3"/>
      </w:pPr>
      <w:r>
        <w:t xml:space="preserve">3.2 Adherence to Precedent</w:t>
      </w:r>
    </w:p>
    <w:p>
      <w:pPr>
        <w:pStyle w:val="FirstParagraph"/>
      </w:pPr>
      <w:r>
        <w:t xml:space="preserve">The subject shows a strong commitment to the decisions of the Court of Cassation (Yargıtay). This consistency is vital for legal certainty in Turkey. The Judge effectively integrates binding precedents into their rulings, ensuring that the local application of law in Istanbul remains harmonized with national jurisprudence.</w:t>
      </w:r>
    </w:p>
    <w:bookmarkEnd w:id="23"/>
    <w:bookmarkEnd w:id="24"/>
    <w:bookmarkStart w:id="27" w:name="judicial-conduct-and-impartiality"/>
    <w:p>
      <w:pPr>
        <w:pStyle w:val="Heading2"/>
      </w:pPr>
      <w:r>
        <w:t xml:space="preserve">4. Judicial Conduct and Impartiality</w:t>
      </w:r>
    </w:p>
    <w:p>
      <w:pPr>
        <w:pStyle w:val="FirstParagraph"/>
      </w:pPr>
      <w:r>
        <w:t xml:space="preserve">Impartiality is the cornerstone of judicial integrity. This section evaluates the Judge's behavior in the courtroom and their interactions with legal professionals and litigants.</w:t>
      </w:r>
    </w:p>
    <w:bookmarkStart w:id="25" w:name="courtroom-demeanor"/>
    <w:p>
      <w:pPr>
        <w:pStyle w:val="Heading3"/>
      </w:pPr>
      <w:r>
        <w:t xml:space="preserve">4.1 Courtroom Demeanor</w:t>
      </w:r>
    </w:p>
    <w:p>
      <w:pPr>
        <w:pStyle w:val="FirstParagraph"/>
      </w:pPr>
      <w:r>
        <w:t xml:space="preserve">Observations indicate that the Judge maintains a professional and authoritative demeanor. In the high-pressure environment of Istanbul's courts, where emotions can run high, the subject successfully manages courtroom dynamics. There were no recorded instances of bias or discriminatory behavior based on ethnicity, religion, or social status, which is particularly important given the multicultural nature of Istanbul.</w:t>
      </w:r>
    </w:p>
    <w:bookmarkEnd w:id="25"/>
    <w:bookmarkStart w:id="26" w:name="interaction-with-counsel"/>
    <w:p>
      <w:pPr>
        <w:pStyle w:val="Heading3"/>
      </w:pPr>
      <w:r>
        <w:t xml:space="preserve">4.2 Interaction with Counsel</w:t>
      </w:r>
    </w:p>
    <w:p>
      <w:pPr>
        <w:pStyle w:val="FirstParagraph"/>
      </w:pPr>
      <w:r>
        <w:t xml:space="preserve">The Judge treats legal counsel with respect, allowing adequate time for arguments while firmly controlling the pace of the proceedings. Feedback from peer attorneys suggests that the Judge is approachable regarding procedural clarifications but remains strictly neutral regarding the merits of the cases.</w:t>
      </w:r>
    </w:p>
    <w:bookmarkEnd w:id="26"/>
    <w:bookmarkEnd w:id="27"/>
    <w:bookmarkStart w:id="30" w:name="efficiency-and-case-management"/>
    <w:p>
      <w:pPr>
        <w:pStyle w:val="Heading2"/>
      </w:pPr>
      <w:r>
        <w:t xml:space="preserve">5. Efficiency and Case Management</w:t>
      </w:r>
    </w:p>
    <w:p>
      <w:pPr>
        <w:pStyle w:val="FirstParagraph"/>
      </w:pPr>
      <w:r>
        <w:t xml:space="preserve">One of the most critical metrics for a Judge in Turkey today is the ability to reduce the backlog of cases. Istanbul's courts are among the busiest in the world, making efficiency a matter of public interest.</w:t>
      </w:r>
    </w:p>
    <w:bookmarkStart w:id="28" w:name="disposition-time"/>
    <w:p>
      <w:pPr>
        <w:pStyle w:val="Heading3"/>
      </w:pPr>
      <w:r>
        <w:t xml:space="preserve">5.1 Disposition Time</w:t>
      </w:r>
    </w:p>
    <w:p>
      <w:pPr>
        <w:pStyle w:val="FirstParagraph"/>
      </w:pPr>
      <w:r>
        <w:t xml:space="preserve">The subject's average disposition time for civil cases is within the acceptable range for the district. However, compared to the top-performing Judges in Istanbul, there is a slight delay in the issuance of written decisions following oral hearings. Accelerating this process would significantly contribute to the overall efficiency of the judicial system in the region.</w:t>
      </w:r>
    </w:p>
    <w:bookmarkEnd w:id="28"/>
    <w:bookmarkStart w:id="29" w:name="procedural-management"/>
    <w:p>
      <w:pPr>
        <w:pStyle w:val="Heading3"/>
      </w:pPr>
      <w:r>
        <w:t xml:space="preserve">5.2 Procedural Management</w:t>
      </w:r>
    </w:p>
    <w:p>
      <w:pPr>
        <w:pStyle w:val="FirstParagraph"/>
      </w:pPr>
      <w:r>
        <w:t xml:space="preserve">The Judge effectively utilizes procedural tools to streamline cases, such as encouraging mediation where appropriate. This proactive approach helps alleviate the burden on the court system and aligns with modern judicial reforms in Turkey aimed at alternative dispute resolution.</w:t>
      </w:r>
    </w:p>
    <w:bookmarkEnd w:id="29"/>
    <w:bookmarkEnd w:id="30"/>
    <w:bookmarkStart w:id="31"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Judge's performance:</w:t>
      </w:r>
    </w:p>
    <w:p>
      <w:pPr>
        <w:numPr>
          <w:ilvl w:val="0"/>
          <w:numId w:val="1001"/>
        </w:numPr>
        <w:pStyle w:val="Compact"/>
      </w:pPr>
      <w:r>
        <w:rPr>
          <w:bCs/>
          <w:b/>
        </w:rPr>
        <w:t xml:space="preserve">Enhanced Commercial Law Training:</w:t>
      </w:r>
      <w:r>
        <w:t xml:space="preserve"> </w:t>
      </w:r>
      <w:r>
        <w:t xml:space="preserve">Given Istanbul's status as a trade hub, the Judge should engage in advanced training on international commercial law to better handle cross-border disputes.</w:t>
      </w:r>
    </w:p>
    <w:p>
      <w:pPr>
        <w:numPr>
          <w:ilvl w:val="0"/>
          <w:numId w:val="1001"/>
        </w:numPr>
        <w:pStyle w:val="Compact"/>
      </w:pPr>
      <w:r>
        <w:rPr>
          <w:bCs/>
          <w:b/>
        </w:rPr>
        <w:t xml:space="preserve">Expedited Drafting:</w:t>
      </w:r>
      <w:r>
        <w:t xml:space="preserve"> </w:t>
      </w:r>
      <w:r>
        <w:t xml:space="preserve">Implementing stricter internal deadlines for drafting judgments will help reduce the time between hearings and final rulings.</w:t>
      </w:r>
    </w:p>
    <w:p>
      <w:pPr>
        <w:numPr>
          <w:ilvl w:val="0"/>
          <w:numId w:val="1001"/>
        </w:numPr>
        <w:pStyle w:val="Compact"/>
      </w:pPr>
      <w:r>
        <w:rPr>
          <w:bCs/>
          <w:b/>
        </w:rPr>
        <w:t xml:space="preserve">Technological Integration:</w:t>
      </w:r>
      <w:r>
        <w:t xml:space="preserve"> </w:t>
      </w:r>
      <w:r>
        <w:t xml:space="preserve">Further utilization of the e-Devlet and e-Usul systems can improve case tracking and communication with parties.</w:t>
      </w:r>
    </w:p>
    <w:bookmarkEnd w:id="31"/>
    <w:bookmarkStart w:id="32" w:name="conclusion"/>
    <w:p>
      <w:pPr>
        <w:pStyle w:val="Heading2"/>
      </w:pPr>
      <w:r>
        <w:t xml:space="preserve">7. Conclusion</w:t>
      </w:r>
    </w:p>
    <w:p>
      <w:pPr>
        <w:pStyle w:val="FirstParagraph"/>
      </w:pPr>
      <w:r>
        <w:t xml:space="preserve">In conclusion, the subject Judge performs their duties with integrity, competence, and dedication. They are a valuable asset to the judicial system of Istanbul, Turkey. While there are areas for improvement regarding efficiency and specialized legal knowledge, the overall assessment is positive. The Judge upholds the dignity of the office and contributes to the administration of justice in one of the world's most complex legal environments. Continued professional development and adherence to the recommendations outlined in this report will further strengthen their judicial practice.</w:t>
      </w:r>
    </w:p>
    <w:p>
      <w:pPr>
        <w:pStyle w:val="BodyText"/>
      </w:pPr>
      <w:r>
        <w:rPr>
          <w:bCs/>
          <w:b/>
        </w:rPr>
        <w:t xml:space="preserve">Prepared By:</w:t>
      </w:r>
    </w:p>
    <w:p>
      <w:pPr>
        <w:pStyle w:val="BodyText"/>
      </w:pPr>
      <w:r>
        <w:t xml:space="preserve">Senior Peer Reviewer</w:t>
      </w:r>
    </w:p>
    <w:p>
      <w:pPr>
        <w:pStyle w:val="BodyText"/>
      </w:pPr>
      <w:r>
        <w:t xml:space="preserve">Istanbul Judicial Peer Review Committee</w:t>
      </w:r>
    </w:p>
    <w:p>
      <w:pPr>
        <w:pStyle w:val="BodyText"/>
      </w:pPr>
      <w:r>
        <w:rPr>
          <w:bCs/>
          <w:b/>
        </w:rPr>
        <w:t xml:space="preserve">Approved By:</w:t>
      </w:r>
    </w:p>
    <w:p>
      <w:pPr>
        <w:pStyle w:val="BodyText"/>
      </w:pPr>
      <w:r>
        <w:t xml:space="preserve">Chairperson</w:t>
      </w:r>
    </w:p>
    <w:p>
      <w:pPr>
        <w:pStyle w:val="BodyText"/>
      </w:pPr>
      <w:r>
        <w:t xml:space="preserve">Istanbul Judicial Peer Review Committee</w:t>
      </w:r>
    </w:p>
    <w:p>
      <w:pPr>
        <w:pStyle w:val="BodyText"/>
      </w:pPr>
      <w:r>
        <w:t xml:space="preserve">This document is confidential and intended solely for the use of the addressee. Unauthorized distribution is prohibited.</w:t>
      </w:r>
    </w:p>
    <w:p>
      <w:pPr>
        <w:pStyle w:val="BodyText"/>
      </w:pPr>
      <w:r>
        <w:t xml:space="preserve">© 2023 Istanbul Judicial Peer Review Committee.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Istanbul, Turkey</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