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Evaluation Framework</w:t>
      </w:r>
    </w:p>
    <w:bookmarkEnd w:id="20"/>
    <w:p>
      <w:pPr>
        <w:pStyle w:val="BodyText"/>
      </w:pPr>
      <w:r>
        <w:rPr>
          <w:bCs/>
          <w:b/>
        </w:rPr>
        <w:t xml:space="preserve">Jurisdiction: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Assessment</w:t>
      </w:r>
    </w:p>
    <w:p>
      <w:pPr>
        <w:pStyle w:val="BodyText"/>
      </w:pPr>
      <w:r>
        <w:rPr>
          <w:bCs/>
          <w:b/>
        </w:rPr>
        <w:t xml:space="preserve">Reference ID:</w:t>
      </w:r>
      <w:r>
        <w:t xml:space="preserve"> </w:t>
      </w:r>
      <w:r>
        <w:t xml:space="preserve">UAE-DXB-JUD-2023-894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conduct, judicial reasoning, and administrative efficiency of the subject</w:t>
      </w:r>
      <w:r>
        <w:t xml:space="preserve"> </w:t>
      </w:r>
      <w:r>
        <w:rPr>
          <w:bCs/>
          <w:b/>
        </w:rPr>
        <w:t xml:space="preserve">Judge</w:t>
      </w:r>
      <w:r>
        <w:t xml:space="preserve"> </w:t>
      </w:r>
      <w:r>
        <w:t xml:space="preserve">within the courts of</w:t>
      </w:r>
      <w:r>
        <w:t xml:space="preserve"> </w:t>
      </w:r>
      <w:r>
        <w:rPr>
          <w:bCs/>
          <w:b/>
        </w:rPr>
        <w:t xml:space="preserve">United Arab Emirates Dubai</w:t>
      </w:r>
      <w:r>
        <w:t xml:space="preserve">. The evaluation is conducted in strict accordance with the Federal Law No. 6 of 2018 regarding the Judicial Authority and the specific regulations governing the Dubai Courts. The primary objective of this review is to ensure the highest standards of justice, integrity, and impartiality, reflecting the progressive legal landscape of the UAE.</w:t>
      </w:r>
    </w:p>
    <w:p>
      <w:pPr>
        <w:pStyle w:val="BodyText"/>
      </w:pPr>
      <w:r>
        <w:t xml:space="preserve">The review panel, comprised of senior judicial peers, has analyzed a representative sample of case files, courtroom observations, and feedback from legal practitioners. The findings indicate that the</w:t>
      </w:r>
      <w:r>
        <w:t xml:space="preserve"> </w:t>
      </w:r>
      <w:r>
        <w:rPr>
          <w:bCs/>
          <w:b/>
        </w:rPr>
        <w:t xml:space="preserve">Judge</w:t>
      </w:r>
      <w:r>
        <w:t xml:space="preserve"> </w:t>
      </w:r>
      <w:r>
        <w:t xml:space="preserve">demonstrates a robust understanding of both Federal UAE law and local Dubai regulations. The overall performance is rated as "Highly Competent," with specific commendations for procedural efficiency and adherence to ethical standards.</w:t>
      </w:r>
    </w:p>
    <w:bookmarkEnd w:id="21"/>
    <w:bookmarkStart w:id="22" w:name="legal-knowledge-and-application"/>
    <w:p>
      <w:pPr>
        <w:pStyle w:val="Heading2"/>
      </w:pPr>
      <w:r>
        <w:t xml:space="preserve">2. Legal Knowledge and Application</w:t>
      </w:r>
    </w:p>
    <w:p>
      <w:pPr>
        <w:pStyle w:val="FirstParagraph"/>
      </w:pPr>
      <w:r>
        <w:t xml:space="preserve">A fundamental requirement for any</w:t>
      </w:r>
      <w:r>
        <w:t xml:space="preserve"> </w:t>
      </w:r>
      <w:r>
        <w:rPr>
          <w:bCs/>
          <w:b/>
        </w:rPr>
        <w:t xml:space="preserve">Judge</w:t>
      </w:r>
      <w:r>
        <w:t xml:space="preserve"> </w:t>
      </w:r>
      <w:r>
        <w:t xml:space="preserve">in</w:t>
      </w:r>
      <w:r>
        <w:t xml:space="preserve"> </w:t>
      </w:r>
      <w:r>
        <w:rPr>
          <w:bCs/>
          <w:b/>
        </w:rPr>
        <w:t xml:space="preserve">United Arab Emirates Dubai</w:t>
      </w:r>
      <w:r>
        <w:t xml:space="preserve"> </w:t>
      </w:r>
      <w:r>
        <w:t xml:space="preserve">is the mastery of the applicable legal frameworks. This</w:t>
      </w:r>
      <w:r>
        <w:t xml:space="preserve"> </w:t>
      </w:r>
      <w:r>
        <w:rPr>
          <w:bCs/>
          <w:b/>
        </w:rPr>
        <w:t xml:space="preserve">Peer Review Report</w:t>
      </w:r>
      <w:r>
        <w:t xml:space="preserve"> </w:t>
      </w:r>
      <w:r>
        <w:t xml:space="preserve">highlights the subject's exceptional ability to interpret and apply the UAE Civil Code, Penal Code, and Commercial Transactions Law.</w:t>
      </w:r>
    </w:p>
    <w:p>
      <w:pPr>
        <w:pStyle w:val="BodyText"/>
      </w:pPr>
      <w:r>
        <w:t xml:space="preserve">The</w:t>
      </w:r>
      <w:r>
        <w:t xml:space="preserve"> </w:t>
      </w:r>
      <w:r>
        <w:rPr>
          <w:bCs/>
          <w:b/>
        </w:rPr>
        <w:t xml:space="preserve">Judge</w:t>
      </w:r>
      <w:r>
        <w:t xml:space="preserve"> </w:t>
      </w:r>
      <w:r>
        <w:t xml:space="preserve">has shown particular proficiency in navigating the complexities of commercial disputes, which are prevalent in Dubai's dynamic economic environment. The written judgments reviewed demonstrate a meticulous attention to detail and a clear logical progression. The integration of Sharia principles where applicable, alongside civil statutes, is handled with nuance and respect for the dual legal heritage of the</w:t>
      </w:r>
      <w:r>
        <w:t xml:space="preserve"> </w:t>
      </w:r>
      <w:r>
        <w:rPr>
          <w:bCs/>
          <w:b/>
        </w:rPr>
        <w:t xml:space="preserve">United Arab Emirates</w:t>
      </w:r>
      <w:r>
        <w:t xml:space="preserve">.</w:t>
      </w:r>
    </w:p>
    <w:p>
      <w:pPr>
        <w:numPr>
          <w:ilvl w:val="0"/>
          <w:numId w:val="1001"/>
        </w:numPr>
        <w:pStyle w:val="Compact"/>
      </w:pPr>
      <w:r>
        <w:rPr>
          <w:bCs/>
          <w:b/>
        </w:rPr>
        <w:t xml:space="preserve">Statutory Interpretation:</w:t>
      </w:r>
      <w:r>
        <w:t xml:space="preserve"> </w:t>
      </w:r>
      <w:r>
        <w:t xml:space="preserve">The</w:t>
      </w:r>
      <w:r>
        <w:t xml:space="preserve"> </w:t>
      </w:r>
      <w:r>
        <w:rPr>
          <w:bCs/>
          <w:b/>
        </w:rPr>
        <w:t xml:space="preserve">Judge</w:t>
      </w:r>
      <w:r>
        <w:t xml:space="preserve"> </w:t>
      </w:r>
      <w:r>
        <w:t xml:space="preserve">accurately cites relevant articles and precedents, ensuring consistency with rulings from the Court of Cassation.</w:t>
      </w:r>
    </w:p>
    <w:p>
      <w:pPr>
        <w:numPr>
          <w:ilvl w:val="0"/>
          <w:numId w:val="1001"/>
        </w:numPr>
        <w:pStyle w:val="Compact"/>
      </w:pPr>
      <w:r>
        <w:rPr>
          <w:bCs/>
          <w:b/>
        </w:rPr>
        <w:t xml:space="preserve">Case Law Awareness:</w:t>
      </w:r>
      <w:r>
        <w:t xml:space="preserve"> </w:t>
      </w:r>
      <w:r>
        <w:t xml:space="preserve">Demonstrates up-to-date knowledge of recent amendments in Dubai-specific regulations, particularly regarding real estate and financial services.</w:t>
      </w:r>
    </w:p>
    <w:bookmarkEnd w:id="22"/>
    <w:bookmarkStart w:id="23" w:name="judicial-conduct-and-impartiality"/>
    <w:p>
      <w:pPr>
        <w:pStyle w:val="Heading2"/>
      </w:pPr>
      <w:r>
        <w:t xml:space="preserve">3. Judicial Conduct and Impartiality</w:t>
      </w:r>
    </w:p>
    <w:p>
      <w:pPr>
        <w:pStyle w:val="FirstParagraph"/>
      </w:pPr>
      <w:r>
        <w:t xml:space="preserve">Integrity is the cornerstone of the judiciary in</w:t>
      </w:r>
      <w:r>
        <w:t xml:space="preserve"> </w:t>
      </w:r>
      <w:r>
        <w:rPr>
          <w:bCs/>
          <w:b/>
        </w:rPr>
        <w:t xml:space="preserve">United Arab Emirates Dubai</w:t>
      </w:r>
      <w:r>
        <w:t xml:space="preserve">. This</w:t>
      </w:r>
      <w:r>
        <w:t xml:space="preserve"> </w:t>
      </w:r>
      <w:r>
        <w:rPr>
          <w:bCs/>
          <w:b/>
        </w:rPr>
        <w:t xml:space="preserve">Peer Review Report</w:t>
      </w:r>
      <w:r>
        <w:t xml:space="preserve"> </w:t>
      </w:r>
      <w:r>
        <w:t xml:space="preserve">assesses the</w:t>
      </w:r>
      <w:r>
        <w:t xml:space="preserve"> </w:t>
      </w:r>
      <w:r>
        <w:rPr>
          <w:bCs/>
          <w:b/>
        </w:rPr>
        <w:t xml:space="preserve">Judge</w:t>
      </w:r>
      <w:r>
        <w:t xml:space="preserve">'s adherence to the Code of Judicial Ethics. Observations confirm that the</w:t>
      </w:r>
      <w:r>
        <w:t xml:space="preserve"> </w:t>
      </w:r>
      <w:r>
        <w:rPr>
          <w:bCs/>
          <w:b/>
        </w:rPr>
        <w:t xml:space="preserve">Judge</w:t>
      </w:r>
      <w:r>
        <w:t xml:space="preserve"> </w:t>
      </w:r>
      <w:r>
        <w:t xml:space="preserve">maintains an atmosphere of decorum and respect in the courtroom.</w:t>
      </w:r>
    </w:p>
    <w:p>
      <w:pPr>
        <w:pStyle w:val="BodyText"/>
      </w:pPr>
      <w:r>
        <w:t xml:space="preserve">The</w:t>
      </w:r>
      <w:r>
        <w:t xml:space="preserve"> </w:t>
      </w:r>
      <w:r>
        <w:rPr>
          <w:bCs/>
          <w:b/>
        </w:rPr>
        <w:t xml:space="preserve">Judge</w:t>
      </w:r>
      <w:r>
        <w:t xml:space="preserve"> </w:t>
      </w:r>
      <w:r>
        <w:t xml:space="preserve">exhibits strict impartiality, treating all parties—whether individuals, corporations, or government entities—with equal dignity. There is no evidence of bias or external influence. The</w:t>
      </w:r>
      <w:r>
        <w:t xml:space="preserve"> </w:t>
      </w:r>
      <w:r>
        <w:rPr>
          <w:bCs/>
          <w:b/>
        </w:rPr>
        <w:t xml:space="preserve">Judge</w:t>
      </w:r>
      <w:r>
        <w:t xml:space="preserve"> </w:t>
      </w:r>
      <w:r>
        <w:t xml:space="preserve">actively manages courtroom dynamics to ensure that all voices are heard, while firmly curbing any disruptive behavior. This conduct reinforces public confidence in the judicial system of Dubai.</w:t>
      </w:r>
    </w:p>
    <w:bookmarkEnd w:id="23"/>
    <w:bookmarkStart w:id="24" w:name="efficiency-and-case-management"/>
    <w:p>
      <w:pPr>
        <w:pStyle w:val="Heading2"/>
      </w:pPr>
      <w:r>
        <w:t xml:space="preserve">4. Efficiency and Case Management</w:t>
      </w:r>
    </w:p>
    <w:p>
      <w:pPr>
        <w:pStyle w:val="FirstParagraph"/>
      </w:pPr>
      <w:r>
        <w:t xml:space="preserve">In the fast-paced legal environment of</w:t>
      </w:r>
      <w:r>
        <w:t xml:space="preserve"> </w:t>
      </w:r>
      <w:r>
        <w:rPr>
          <w:bCs/>
          <w:b/>
        </w:rPr>
        <w:t xml:space="preserve">United Arab Emirates Dubai</w:t>
      </w:r>
      <w:r>
        <w:t xml:space="preserve">, efficiency is paramount. This</w:t>
      </w:r>
      <w:r>
        <w:t xml:space="preserve"> </w:t>
      </w:r>
      <w:r>
        <w:rPr>
          <w:bCs/>
          <w:b/>
        </w:rPr>
        <w:t xml:space="preserve">Peer Review Report</w:t>
      </w:r>
      <w:r>
        <w:t xml:space="preserve"> </w:t>
      </w:r>
      <w:r>
        <w:t xml:space="preserve">evaluates the</w:t>
      </w:r>
      <w:r>
        <w:t xml:space="preserve"> </w:t>
      </w:r>
      <w:r>
        <w:rPr>
          <w:bCs/>
          <w:b/>
        </w:rPr>
        <w:t xml:space="preserve">Judge</w:t>
      </w:r>
      <w:r>
        <w:t xml:space="preserve">'s ability to manage caseloads effectively. The data indicates that the</w:t>
      </w:r>
      <w:r>
        <w:t xml:space="preserve"> </w:t>
      </w:r>
      <w:r>
        <w:rPr>
          <w:bCs/>
          <w:b/>
        </w:rPr>
        <w:t xml:space="preserve">Judge</w:t>
      </w:r>
      <w:r>
        <w:t xml:space="preserve"> </w:t>
      </w:r>
      <w:r>
        <w:t xml:space="preserve">consistently meets or exceeds the targets for case resolution set by the Dubai Courts administration.</w:t>
      </w:r>
    </w:p>
    <w:p>
      <w:pPr>
        <w:pStyle w:val="BodyText"/>
      </w:pPr>
      <w:r>
        <w:t xml:space="preserve">The</w:t>
      </w:r>
      <w:r>
        <w:t xml:space="preserve"> </w:t>
      </w:r>
      <w:r>
        <w:rPr>
          <w:bCs/>
          <w:b/>
        </w:rPr>
        <w:t xml:space="preserve">Judge</w:t>
      </w:r>
      <w:r>
        <w:t xml:space="preserve"> </w:t>
      </w:r>
      <w:r>
        <w:t xml:space="preserve">utilizes digital case management systems proficiently, reducing administrative delays. Pre-trial conferences are conducted with purpose, often facilitating settlements and reducing the burden on the court. This proactive approach to case management aligns with the UAE's vision for a streamlined and accessible justice system.</w:t>
      </w:r>
    </w:p>
    <w:bookmarkEnd w:id="24"/>
    <w:bookmarkStart w:id="25" w:name="quality-of-written-judgments"/>
    <w:p>
      <w:pPr>
        <w:pStyle w:val="Heading2"/>
      </w:pPr>
      <w:r>
        <w:t xml:space="preserve">5. Quality of Written Judgments</w:t>
      </w:r>
    </w:p>
    <w:p>
      <w:pPr>
        <w:pStyle w:val="FirstParagraph"/>
      </w:pPr>
      <w:r>
        <w:t xml:space="preserve">The clarity and quality of written judgments are critical for legal certainty. This</w:t>
      </w:r>
      <w:r>
        <w:t xml:space="preserve"> </w:t>
      </w:r>
      <w:r>
        <w:rPr>
          <w:bCs/>
          <w:b/>
        </w:rPr>
        <w:t xml:space="preserve">Peer Review Report</w:t>
      </w:r>
      <w:r>
        <w:t xml:space="preserve"> </w:t>
      </w:r>
      <w:r>
        <w:t xml:space="preserve">notes that the</w:t>
      </w:r>
      <w:r>
        <w:t xml:space="preserve"> </w:t>
      </w:r>
      <w:r>
        <w:rPr>
          <w:bCs/>
          <w:b/>
        </w:rPr>
        <w:t xml:space="preserve">Judge</w:t>
      </w:r>
      <w:r>
        <w:t xml:space="preserve">'s written decisions are well-structured, concise, and legally sound. The reasoning provided is transparent, allowing parties to understand the basis of the ruling.</w:t>
      </w:r>
    </w:p>
    <w:p>
      <w:pPr>
        <w:pStyle w:val="BodyText"/>
      </w:pPr>
      <w:r>
        <w:t xml:space="preserve">The language used is professional and precise, adhering to the formal standards required in</w:t>
      </w:r>
      <w:r>
        <w:t xml:space="preserve"> </w:t>
      </w:r>
      <w:r>
        <w:rPr>
          <w:bCs/>
          <w:b/>
        </w:rPr>
        <w:t xml:space="preserve">United Arab Emirates Dubai</w:t>
      </w:r>
      <w:r>
        <w:t xml:space="preserve"> </w:t>
      </w:r>
      <w:r>
        <w:t xml:space="preserve">courts. The</w:t>
      </w:r>
      <w:r>
        <w:t xml:space="preserve"> </w:t>
      </w:r>
      <w:r>
        <w:rPr>
          <w:bCs/>
          <w:b/>
        </w:rPr>
        <w:t xml:space="preserve">Judge</w:t>
      </w:r>
      <w:r>
        <w:t xml:space="preserve"> </w:t>
      </w:r>
      <w:r>
        <w:t xml:space="preserve">ensures that all arguments presented by counsel are addressed, providing a comprehensive record that minimizes the likelihood of successful appeals based on procedural errors.</w:t>
      </w:r>
    </w:p>
    <w:bookmarkEnd w:id="25"/>
    <w:bookmarkStart w:id="26" w:name="recommendations-and-conclusion"/>
    <w:p>
      <w:pPr>
        <w:pStyle w:val="Heading2"/>
      </w:pPr>
      <w:r>
        <w:t xml:space="preserve">6. Recommendations and Conclusion</w:t>
      </w:r>
    </w:p>
    <w:p>
      <w:pPr>
        <w:pStyle w:val="FirstParagraph"/>
      </w:pPr>
      <w:r>
        <w:t xml:space="preserve">Based on the comprehensive analysis detailed in this</w:t>
      </w:r>
      <w:r>
        <w:t xml:space="preserve"> </w:t>
      </w:r>
      <w:r>
        <w:rPr>
          <w:bCs/>
          <w:b/>
        </w:rPr>
        <w:t xml:space="preserve">Peer Review Report</w:t>
      </w:r>
      <w:r>
        <w:t xml:space="preserve">, the review panel concludes that the</w:t>
      </w:r>
      <w:r>
        <w:t xml:space="preserve"> </w:t>
      </w:r>
      <w:r>
        <w:rPr>
          <w:bCs/>
          <w:b/>
        </w:rPr>
        <w:t xml:space="preserve">Judge</w:t>
      </w:r>
      <w:r>
        <w:t xml:space="preserve"> </w:t>
      </w:r>
      <w:r>
        <w:t xml:space="preserve">is performing at an exemplary level. The</w:t>
      </w:r>
      <w:r>
        <w:t xml:space="preserve"> </w:t>
      </w:r>
      <w:r>
        <w:rPr>
          <w:bCs/>
          <w:b/>
        </w:rPr>
        <w:t xml:space="preserve">Judge</w:t>
      </w:r>
      <w:r>
        <w:t xml:space="preserve"> </w:t>
      </w:r>
      <w:r>
        <w:t xml:space="preserve">upholds the reputation of the judiciary in</w:t>
      </w:r>
      <w:r>
        <w:t xml:space="preserve"> </w:t>
      </w:r>
      <w:r>
        <w:rPr>
          <w:bCs/>
          <w:b/>
        </w:rPr>
        <w:t xml:space="preserve">United Arab Emirates Dubai</w:t>
      </w:r>
      <w:r>
        <w:t xml:space="preserve"> </w:t>
      </w:r>
      <w:r>
        <w:t xml:space="preserve">through diligent service, ethical conduct, and legal expertise.</w:t>
      </w:r>
    </w:p>
    <w:p>
      <w:pPr>
        <w:pStyle w:val="BodyText"/>
      </w:pPr>
      <w:r>
        <w:rPr>
          <w:bCs/>
          <w:b/>
        </w:rPr>
        <w:t xml:space="preserve">Recommendations:</w:t>
      </w:r>
    </w:p>
    <w:p>
      <w:pPr>
        <w:numPr>
          <w:ilvl w:val="0"/>
          <w:numId w:val="1002"/>
        </w:numPr>
        <w:pStyle w:val="Compact"/>
      </w:pPr>
      <w:r>
        <w:t xml:space="preserve">Continue participation in advanced judicial training programs, particularly in international arbitration and cross-border dispute resolution.</w:t>
      </w:r>
    </w:p>
    <w:p>
      <w:pPr>
        <w:numPr>
          <w:ilvl w:val="0"/>
          <w:numId w:val="1002"/>
        </w:numPr>
        <w:pStyle w:val="Compact"/>
      </w:pPr>
      <w:r>
        <w:t xml:space="preserve">Mentor junior judges to foster a culture of excellence within the Dubai Courts.</w:t>
      </w:r>
    </w:p>
    <w:p>
      <w:pPr>
        <w:pStyle w:val="FirstParagraph"/>
      </w:pPr>
      <w:r>
        <w:t xml:space="preserve">This report is submitted for the consideration of the Judicial Council. It stands as a testament to the rigorous standards maintained by the judiciary in</w:t>
      </w:r>
      <w:r>
        <w:t xml:space="preserve"> </w:t>
      </w:r>
      <w:r>
        <w:rPr>
          <w:bCs/>
          <w:b/>
        </w:rPr>
        <w:t xml:space="preserve">United Arab Emirates Dubai</w:t>
      </w:r>
      <w:r>
        <w:t xml:space="preserve">.</w:t>
      </w:r>
    </w:p>
    <w:bookmarkEnd w:id="26"/>
    <w:p>
      <w:pPr>
        <w:pStyle w:val="BodyText"/>
      </w:pPr>
      <w:r>
        <w:rPr>
          <w:bCs/>
          <w:b/>
        </w:rPr>
        <w:t xml:space="preserve">Lead Reviewer:</w:t>
      </w:r>
    </w:p>
    <w:p>
      <w:pPr>
        <w:pStyle w:val="BodyText"/>
      </w:pPr>
      <w:r>
        <w:t xml:space="preserve">Justice A. Al-Maktoum</w:t>
      </w:r>
    </w:p>
    <w:p>
      <w:pPr>
        <w:pStyle w:val="BodyText"/>
      </w:pPr>
      <w:r>
        <w:t xml:space="preserve">Senior Judge, Dubai Courts</w:t>
      </w:r>
    </w:p>
    <w:p>
      <w:pPr>
        <w:pStyle w:val="BodyText"/>
      </w:pPr>
      <w:r>
        <w:rPr>
          <w:bCs/>
          <w:b/>
        </w:rPr>
        <w:t xml:space="preserve">Co-Reviewer:</w:t>
      </w:r>
    </w:p>
    <w:p>
      <w:pPr>
        <w:pStyle w:val="BodyText"/>
      </w:pPr>
      <w:r>
        <w:t xml:space="preserve">Justice S. Al-Nahyan</w:t>
      </w:r>
    </w:p>
    <w:p>
      <w:pPr>
        <w:pStyle w:val="BodyText"/>
      </w:pPr>
      <w:r>
        <w:t xml:space="preserve">Member, Judicial Council</w:t>
      </w:r>
    </w:p>
    <w:p>
      <w:pPr>
        <w:pStyle w:val="BodyText"/>
      </w:pPr>
      <w:r>
        <w:rPr>
          <w:bCs/>
          <w:b/>
        </w:rPr>
        <w:t xml:space="preserve">CONFIDENTIALITY NOTICE:</w:t>
      </w:r>
      <w:r>
        <w:t xml:space="preserve"> </w:t>
      </w:r>
      <w:r>
        <w:t xml:space="preserve">This</w:t>
      </w:r>
      <w:r>
        <w:t xml:space="preserve"> </w:t>
      </w:r>
      <w:r>
        <w:rPr>
          <w:bCs/>
          <w:b/>
        </w:rPr>
        <w:t xml:space="preserve">Peer Review Report</w:t>
      </w:r>
      <w:r>
        <w:t xml:space="preserve"> </w:t>
      </w:r>
      <w:r>
        <w:t xml:space="preserve">contains sensitive information regarding the professional evaluation of a</w:t>
      </w:r>
      <w:r>
        <w:t xml:space="preserve"> </w:t>
      </w:r>
      <w:r>
        <w:rPr>
          <w:bCs/>
          <w:b/>
        </w:rPr>
        <w:t xml:space="preserve">Judge</w:t>
      </w:r>
      <w:r>
        <w:t xml:space="preserve"> </w:t>
      </w:r>
      <w:r>
        <w:t xml:space="preserve">in</w:t>
      </w:r>
      <w:r>
        <w:t xml:space="preserve"> </w:t>
      </w:r>
      <w:r>
        <w:rPr>
          <w:bCs/>
          <w:b/>
        </w:rPr>
        <w:t xml:space="preserve">United Arab Emirates Dubai</w:t>
      </w:r>
      <w:r>
        <w:t xml:space="preserve">. It is intended solely for the use of the addressee(s) named above. Unauthorized disclosure, copying, or distribution of this document is strictly prohibited under UAE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2026-10-10T04:22:44Z</dcterms:created>
  <dcterms:modified xsi:type="dcterms:W3CDTF">2026-10-10T04:22:44Z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