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Judicial Performance and Professional Conduct Evaluation</w:t>
      </w:r>
    </w:p>
    <w:p>
      <w:pPr>
        <w:pStyle w:val="BodyText"/>
      </w:pPr>
      <w:r>
        <w:rPr>
          <w:bCs/>
          <w:b/>
        </w:rPr>
        <w:t xml:space="preserve">Date of Report:</w:t>
      </w:r>
      <w:r>
        <w:t xml:space="preserve"> </w:t>
      </w:r>
      <w:r>
        <w:t xml:space="preserve">October 24, 2023</w:t>
      </w:r>
      <w:r>
        <w:br/>
      </w:r>
      <w:r>
        <w:rPr>
          <w:bCs/>
          <w:b/>
        </w:rPr>
        <w:t xml:space="preserve">Location:</w:t>
      </w:r>
      <w:r>
        <w:t xml:space="preserve"> </w:t>
      </w:r>
      <w:r>
        <w:t xml:space="preserve">Tashkent, Uzbekistan</w:t>
      </w:r>
      <w:r>
        <w:br/>
      </w:r>
      <w:r>
        <w:rPr>
          <w:bCs/>
          <w:b/>
        </w:rPr>
        <w:t xml:space="preserve">Reviewing Body:</w:t>
      </w:r>
      <w:r>
        <w:t xml:space="preserve"> </w:t>
      </w:r>
      <w:r>
        <w:t xml:space="preserve">High Judicial Council of Uzbekistan</w:t>
      </w:r>
    </w:p>
    <w:p>
      <w:pPr>
        <w:pStyle w:val="BodyText"/>
      </w:pPr>
      <w:r>
        <w:rPr>
          <w:bCs/>
          <w:b/>
        </w:rPr>
        <w:t xml:space="preserve">Subject:</w:t>
      </w:r>
      <w:r>
        <w:t xml:space="preserve"> </w:t>
      </w:r>
      <w:r>
        <w:t xml:space="preserve">Evaluation of Judicial Officer</w:t>
      </w:r>
      <w:r>
        <w:br/>
      </w:r>
      <w:r>
        <w:rPr>
          <w:bCs/>
          <w:b/>
        </w:rPr>
        <w:t xml:space="preserve">Case Reference:</w:t>
      </w:r>
      <w:r>
        <w:t xml:space="preserve"> </w:t>
      </w:r>
      <w:r>
        <w:t xml:space="preserve">HR-JUD-2023-TK-089</w:t>
      </w:r>
      <w:r>
        <w:br/>
      </w:r>
      <w:r>
        <w:rPr>
          <w:bCs/>
          <w:b/>
        </w:rPr>
        <w:t xml:space="preserve">Classification:</w:t>
      </w:r>
      <w:r>
        <w:t xml:space="preserve"> </w:t>
      </w:r>
      <w:r>
        <w:t xml:space="preserve">Confidential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adherence, and procedural efficiency of a senior</w:t>
      </w:r>
      <w:r>
        <w:t xml:space="preserve"> </w:t>
      </w:r>
      <w:r>
        <w:rPr>
          <w:bCs/>
          <w:b/>
        </w:rPr>
        <w:t xml:space="preserve">Judge</w:t>
      </w:r>
      <w:r>
        <w:t xml:space="preserve"> </w:t>
      </w:r>
      <w:r>
        <w:t xml:space="preserve">currently serving within the judicial system of</w:t>
      </w:r>
      <w:r>
        <w:t xml:space="preserve"> </w:t>
      </w:r>
      <w:r>
        <w:rPr>
          <w:bCs/>
          <w:b/>
        </w:rPr>
        <w:t xml:space="preserve">Uzbekistan Tashkent</w:t>
      </w:r>
      <w:r>
        <w:t xml:space="preserve">. As the capital city undergoes significant legal modernization and judicial reform, the standards expected of the judiciary are increasingly rigorous. This document serves as a formal assessment of the subject's alignment with the Constitution of the Republic of Uzbekistan, the Law on the Judiciary and the Status of Judges, and international best practices in judicial administration.</w:t>
      </w:r>
    </w:p>
    <w:p>
      <w:pPr>
        <w:pStyle w:val="BodyText"/>
      </w:pPr>
      <w:r>
        <w:t xml:space="preserve">The review focuses on the Judge's ability to maintain impartiality, the quality of legal reasoning in written decisions, and the management of court proceedings within the bustling legal environment of Tashkent. The findings presented herein are based on case file analysis, courtroom observation, and feedback from legal peers and court administration staff.</w:t>
      </w:r>
    </w:p>
    <w:bookmarkEnd w:id="20"/>
    <w:bookmarkStart w:id="21" w:name="context-of-the-review"/>
    <w:p>
      <w:pPr>
        <w:pStyle w:val="Heading2"/>
      </w:pPr>
      <w:r>
        <w:t xml:space="preserve">2. Context of the Review</w:t>
      </w:r>
    </w:p>
    <w:p>
      <w:pPr>
        <w:pStyle w:val="FirstParagraph"/>
      </w:pPr>
      <w:r>
        <w:t xml:space="preserve">The judicial landscape in</w:t>
      </w:r>
      <w:r>
        <w:t xml:space="preserve"> </w:t>
      </w:r>
      <w:r>
        <w:rPr>
          <w:bCs/>
          <w:b/>
        </w:rPr>
        <w:t xml:space="preserve">Uzbekistan Tashkent</w:t>
      </w:r>
      <w:r>
        <w:t xml:space="preserve"> </w:t>
      </w:r>
      <w:r>
        <w:t xml:space="preserve">is characterized by a high volume of civil, commercial, and criminal cases. The transition towards a more transparent and independent judiciary requires that every</w:t>
      </w:r>
      <w:r>
        <w:t xml:space="preserve"> </w:t>
      </w:r>
      <w:r>
        <w:rPr>
          <w:bCs/>
          <w:b/>
        </w:rPr>
        <w:t xml:space="preserve">Judge</w:t>
      </w:r>
      <w:r>
        <w:t xml:space="preserve"> </w:t>
      </w:r>
      <w:r>
        <w:t xml:space="preserve">demonstrates not only technical legal knowledge but also a commitment to procedural fairness. This</w:t>
      </w:r>
      <w:r>
        <w:t xml:space="preserve"> </w:t>
      </w:r>
      <w:r>
        <w:rPr>
          <w:bCs/>
          <w:b/>
        </w:rPr>
        <w:t xml:space="preserve">Peer Review Report</w:t>
      </w:r>
      <w:r>
        <w:t xml:space="preserve"> </w:t>
      </w:r>
      <w:r>
        <w:t xml:space="preserve">is conducted in the spirit of continuous improvement, aiming to identify areas of excellence and opportunities for professional development.</w:t>
      </w:r>
    </w:p>
    <w:p>
      <w:pPr>
        <w:pStyle w:val="BodyText"/>
      </w:pPr>
      <w:r>
        <w:t xml:space="preserve">The evaluation period covers the last twelve months of judicial activity. Special attention was paid to the Judge's handling of complex commercial disputes and labor law cases, which are prevalent in the economic hub of Tashkent.</w:t>
      </w:r>
    </w:p>
    <w:bookmarkEnd w:id="21"/>
    <w:bookmarkStart w:id="22" w:name="X70504fc27fe1134e525843bcd036548858829d0"/>
    <w:p>
      <w:pPr>
        <w:pStyle w:val="Heading2"/>
      </w:pPr>
      <w:r>
        <w:t xml:space="preserve">3. Assessment of Legal Competence and Decision Making</w:t>
      </w:r>
    </w:p>
    <w:p>
      <w:pPr>
        <w:pStyle w:val="FirstParagraph"/>
      </w:pPr>
      <w:r>
        <w:t xml:space="preserve">The primary function of a</w:t>
      </w:r>
      <w:r>
        <w:t xml:space="preserve"> </w:t>
      </w:r>
      <w:r>
        <w:rPr>
          <w:bCs/>
          <w:b/>
        </w:rPr>
        <w:t xml:space="preserve">Judge</w:t>
      </w:r>
      <w:r>
        <w:t xml:space="preserve"> </w:t>
      </w:r>
      <w:r>
        <w:t xml:space="preserve">is to interpret the law accurately and apply it fairly. The review indicates that the subject possesses a robust understanding of the Civil Code and Criminal Procedure Code of Uzbekistan.</w:t>
      </w:r>
    </w:p>
    <w:p>
      <w:pPr>
        <w:numPr>
          <w:ilvl w:val="0"/>
          <w:numId w:val="1001"/>
        </w:numPr>
        <w:pStyle w:val="Compact"/>
      </w:pPr>
      <w:r>
        <w:rPr>
          <w:bCs/>
          <w:b/>
        </w:rPr>
        <w:t xml:space="preserve">Quality of Judgments:</w:t>
      </w:r>
      <w:r>
        <w:t xml:space="preserve"> </w:t>
      </w:r>
      <w:r>
        <w:t xml:space="preserve">The written decisions reviewed demonstrate clear logic and thorough analysis of evidence. The Judge consistently cites relevant statutes and precedents, ensuring that rulings are legally sound.</w:t>
      </w:r>
    </w:p>
    <w:p>
      <w:pPr>
        <w:numPr>
          <w:ilvl w:val="0"/>
          <w:numId w:val="1001"/>
        </w:numPr>
        <w:pStyle w:val="Compact"/>
      </w:pPr>
      <w:r>
        <w:rPr>
          <w:bCs/>
          <w:b/>
        </w:rPr>
        <w:t xml:space="preserve">Procedural Adherence:</w:t>
      </w:r>
      <w:r>
        <w:t xml:space="preserve"> </w:t>
      </w:r>
      <w:r>
        <w:t xml:space="preserve">In the context of</w:t>
      </w:r>
      <w:r>
        <w:t xml:space="preserve"> </w:t>
      </w:r>
      <w:r>
        <w:rPr>
          <w:bCs/>
          <w:b/>
        </w:rPr>
        <w:t xml:space="preserve">Uzbekistan Tashkent</w:t>
      </w:r>
      <w:r>
        <w:t xml:space="preserve"> </w:t>
      </w:r>
      <w:r>
        <w:t xml:space="preserve">courts, where efficiency is paramount, the Judge has shown a commendable ability to adhere to statutory time limits for case resolution without compromising the rights of the parties.</w:t>
      </w:r>
    </w:p>
    <w:p>
      <w:pPr>
        <w:numPr>
          <w:ilvl w:val="0"/>
          <w:numId w:val="1001"/>
        </w:numPr>
        <w:pStyle w:val="Compact"/>
      </w:pPr>
      <w:r>
        <w:rPr>
          <w:bCs/>
          <w:b/>
        </w:rPr>
        <w:t xml:space="preserve">Impartiality:</w:t>
      </w:r>
      <w:r>
        <w:t xml:space="preserve"> </w:t>
      </w:r>
      <w:r>
        <w:t xml:space="preserve">Observations confirm that the Judge maintains a neutral stance, treating all litigants with equal respect regardless of their social or economic status. This is critical for maintaining public trust in the judicial system of the capital.</w:t>
      </w:r>
    </w:p>
    <w:bookmarkEnd w:id="22"/>
    <w:bookmarkStart w:id="23" w:name="courtroom-management-and-efficiency"/>
    <w:p>
      <w:pPr>
        <w:pStyle w:val="Heading2"/>
      </w:pPr>
      <w:r>
        <w:t xml:space="preserve">4. Courtroom Management and Efficiency</w:t>
      </w:r>
    </w:p>
    <w:p>
      <w:pPr>
        <w:pStyle w:val="FirstParagraph"/>
      </w:pPr>
      <w:r>
        <w:t xml:space="preserve">Effective courtroom management is essential for the smooth operation of the justice system. This</w:t>
      </w:r>
      <w:r>
        <w:t xml:space="preserve"> </w:t>
      </w:r>
      <w:r>
        <w:rPr>
          <w:bCs/>
          <w:b/>
        </w:rPr>
        <w:t xml:space="preserve">Peer Review Report</w:t>
      </w:r>
      <w:r>
        <w:t xml:space="preserve"> </w:t>
      </w:r>
      <w:r>
        <w:t xml:space="preserve">highlights the following observations regarding the Judge's conduct during hearings:</w:t>
      </w:r>
    </w:p>
    <w:p>
      <w:pPr>
        <w:numPr>
          <w:ilvl w:val="0"/>
          <w:numId w:val="1002"/>
        </w:numPr>
        <w:pStyle w:val="Compact"/>
      </w:pPr>
      <w:r>
        <w:rPr>
          <w:bCs/>
          <w:b/>
        </w:rPr>
        <w:t xml:space="preserve">Control of Proceedings:</w:t>
      </w:r>
      <w:r>
        <w:t xml:space="preserve"> </w:t>
      </w:r>
      <w:r>
        <w:t xml:space="preserve">The Judge effectively manages the flow of hearings, ensuring that arguments remain relevant and that courtroom decorum is maintained. This is particularly important in high-stakes cases common in Tashkent.</w:t>
      </w:r>
    </w:p>
    <w:p>
      <w:pPr>
        <w:numPr>
          <w:ilvl w:val="0"/>
          <w:numId w:val="1002"/>
        </w:numPr>
        <w:pStyle w:val="Compact"/>
      </w:pPr>
      <w:r>
        <w:rPr>
          <w:bCs/>
          <w:b/>
        </w:rPr>
        <w:t xml:space="preserve">Communication Skills:</w:t>
      </w:r>
      <w:r>
        <w:t xml:space="preserve"> </w:t>
      </w:r>
      <w:r>
        <w:t xml:space="preserve">The subject communicates clearly with lawyers, witnesses, and defendants. The use of precise legal terminology is balanced with an effort to ensure that non-legal participants understand the proceedings.</w:t>
      </w:r>
    </w:p>
    <w:p>
      <w:pPr>
        <w:numPr>
          <w:ilvl w:val="0"/>
          <w:numId w:val="1002"/>
        </w:numPr>
        <w:pStyle w:val="Compact"/>
      </w:pPr>
      <w:r>
        <w:rPr>
          <w:bCs/>
          <w:b/>
        </w:rPr>
        <w:t xml:space="preserve">Case Load Management:</w:t>
      </w:r>
      <w:r>
        <w:t xml:space="preserve"> </w:t>
      </w:r>
      <w:r>
        <w:t xml:space="preserve">The Judge has demonstrated an ability to handle a heavy caseload efficiently, utilizing digital case management systems introduced in recent reforms in Uzbekistan.</w:t>
      </w:r>
    </w:p>
    <w:bookmarkEnd w:id="23"/>
    <w:bookmarkStart w:id="24" w:name="X4ce211acb8b02978b825403f312638d11fa1afd"/>
    <w:p>
      <w:pPr>
        <w:pStyle w:val="Heading2"/>
      </w:pPr>
      <w:r>
        <w:t xml:space="preserve">5. Ethical Standards and Professional Conduct</w:t>
      </w:r>
    </w:p>
    <w:p>
      <w:pPr>
        <w:pStyle w:val="FirstParagraph"/>
      </w:pPr>
      <w:r>
        <w:t xml:space="preserve">Integrity is the cornerstone of the judiciary. This section of the</w:t>
      </w:r>
      <w:r>
        <w:t xml:space="preserve"> </w:t>
      </w:r>
      <w:r>
        <w:rPr>
          <w:bCs/>
          <w:b/>
        </w:rPr>
        <w:t xml:space="preserve">Peer Review Report</w:t>
      </w:r>
      <w:r>
        <w:t xml:space="preserve"> </w:t>
      </w:r>
      <w:r>
        <w:t xml:space="preserve">evaluates the Judge's adherence to the Code of Judicial Ethics.</w:t>
      </w:r>
    </w:p>
    <w:p>
      <w:pPr>
        <w:pStyle w:val="BodyText"/>
      </w:pPr>
      <w:r>
        <w:t xml:space="preserve">There were no reports of ethical violations, conflicts of interest, or misconduct during the review period. The Judge has maintained appropriate boundaries with legal practitioners and parties involved in cases. Furthermore, the subject has actively participated in continuing legal education programs organized by the Supreme Court of Uzbekistan, demonstrating a commitment to professional growth and staying updated with legislative changes.</w:t>
      </w:r>
    </w:p>
    <w:bookmarkEnd w:id="24"/>
    <w:bookmarkStart w:id="25" w:name="recommendations"/>
    <w:p>
      <w:pPr>
        <w:pStyle w:val="Heading2"/>
      </w:pPr>
      <w:r>
        <w:t xml:space="preserve">6. Recommendations</w:t>
      </w:r>
    </w:p>
    <w:p>
      <w:pPr>
        <w:pStyle w:val="FirstParagraph"/>
      </w:pPr>
      <w:r>
        <w:t xml:space="preserve">Based on the comprehensive evaluation conducted for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 </w:t>
      </w:r>
      <w:r>
        <w:t xml:space="preserve">serving in</w:t>
      </w:r>
      <w:r>
        <w:t xml:space="preserve"> </w:t>
      </w:r>
      <w:r>
        <w:rPr>
          <w:bCs/>
          <w:b/>
        </w:rPr>
        <w:t xml:space="preserve">Uzbekistan Tashkent</w:t>
      </w:r>
      <w:r>
        <w:t xml:space="preserve">:</w:t>
      </w:r>
    </w:p>
    <w:p>
      <w:pPr>
        <w:numPr>
          <w:ilvl w:val="0"/>
          <w:numId w:val="1003"/>
        </w:numPr>
        <w:pStyle w:val="Compact"/>
      </w:pPr>
      <w:r>
        <w:rPr>
          <w:bCs/>
          <w:b/>
        </w:rPr>
        <w:t xml:space="preserve">Continued Professional Development:</w:t>
      </w:r>
      <w:r>
        <w:t xml:space="preserve"> </w:t>
      </w:r>
      <w:r>
        <w:t xml:space="preserve">It is recommended that the Judge pursue advanced training in international commercial arbitration and digital evidence handling, areas of growing importance in Tashkent's evolving legal market.</w:t>
      </w:r>
    </w:p>
    <w:p>
      <w:pPr>
        <w:numPr>
          <w:ilvl w:val="0"/>
          <w:numId w:val="1003"/>
        </w:numPr>
        <w:pStyle w:val="Compact"/>
      </w:pPr>
      <w:r>
        <w:rPr>
          <w:bCs/>
          <w:b/>
        </w:rPr>
        <w:t xml:space="preserve">Mentorship:</w:t>
      </w:r>
      <w:r>
        <w:t xml:space="preserve"> </w:t>
      </w:r>
      <w:r>
        <w:t xml:space="preserve">Given the high level of competence demonstrated, the Judge should be considered for a mentorship role to assist in training junior judges and court staff.</w:t>
      </w:r>
    </w:p>
    <w:p>
      <w:pPr>
        <w:numPr>
          <w:ilvl w:val="0"/>
          <w:numId w:val="1003"/>
        </w:numPr>
        <w:pStyle w:val="Compact"/>
      </w:pPr>
      <w:r>
        <w:rPr>
          <w:bCs/>
          <w:b/>
        </w:rPr>
        <w:t xml:space="preserve">Public Engagement:</w:t>
      </w:r>
      <w:r>
        <w:t xml:space="preserve"> </w:t>
      </w:r>
      <w:r>
        <w:t xml:space="preserve">To further enhance transparency, the Judge is encouraged to participate in public legal education initiatives, helping citizens in Tashkent better understand their rights and the judicial process.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performs their duties with a high degree of professionalism, integrity, and legal acumen. The contributions of this judicial officer are vital to the ongoing modernization and strengthening of the rule of law in</w:t>
      </w:r>
      <w:r>
        <w:t xml:space="preserve"> </w:t>
      </w:r>
      <w:r>
        <w:rPr>
          <w:bCs/>
          <w:b/>
        </w:rPr>
        <w:t xml:space="preserve">Uzbekistan Tashkent</w:t>
      </w:r>
      <w:r>
        <w:t xml:space="preserve">. The review confirms that the Judge meets and, in several areas, exceeds the standards required by the High Judicial Council. Continued support and professional development opportunities will ensure that the Judge remains an effective and respected figure within the Uzbek judicial system.</w:t>
      </w:r>
    </w:p>
    <w:bookmarkEnd w:id="26"/>
    <w:p>
      <w:pPr>
        <w:pStyle w:val="BodyText"/>
      </w:pPr>
      <w:r>
        <w:rPr>
          <w:bCs/>
          <w:b/>
        </w:rPr>
        <w:t xml:space="preserve">Lead Reviewer</w:t>
      </w:r>
      <w:r>
        <w:br/>
      </w:r>
      <w:r>
        <w:t xml:space="preserve">High Judicial Council</w:t>
      </w:r>
      <w:r>
        <w:br/>
      </w:r>
      <w:r>
        <w:t xml:space="preserve">Tashkent, Uzbekistan</w:t>
      </w:r>
    </w:p>
    <w:p>
      <w:pPr>
        <w:pStyle w:val="BodyText"/>
      </w:pPr>
      <w:r>
        <w:rPr>
          <w:bCs/>
          <w:b/>
        </w:rPr>
        <w:t xml:space="preserve">Senior Peer Assessor</w:t>
      </w:r>
      <w:r>
        <w:br/>
      </w:r>
      <w:r>
        <w:t xml:space="preserve">Judicial Ethics Committee</w:t>
      </w:r>
      <w:r>
        <w:br/>
      </w:r>
      <w:r>
        <w:t xml:space="preserve">Tashkent, Uzbekistan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2026-10-10T02:45:09Z</dcterms:created>
  <dcterms:modified xsi:type="dcterms:W3CDTF">2026-10-10T02:45:09Z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