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Berlin,</w:t>
      </w:r>
      <w:r>
        <w:t xml:space="preserve"> </w:t>
      </w:r>
      <w:r>
        <w:t xml:space="preserve">Germany</w:t>
      </w:r>
    </w:p>
    <w:bookmarkStart w:id="20" w:name="peer-review-report"/>
    <w:p>
      <w:pPr>
        <w:pStyle w:val="Heading1"/>
      </w:pPr>
      <w:r>
        <w:t xml:space="preserve">Peer Review Report</w:t>
      </w:r>
    </w:p>
    <w:p>
      <w:pPr>
        <w:pStyle w:val="FirstParagraph"/>
      </w:pPr>
      <w:r>
        <w:t xml:space="preserve">Professional Competency Assessment</w:t>
      </w:r>
    </w:p>
    <w:p>
      <w:pPr>
        <w:pStyle w:val="BodyText"/>
      </w:pPr>
      <w:r>
        <w:t xml:space="preserve">Position:</w:t>
      </w:r>
      <w:r>
        <w:t xml:space="preserve"> </w:t>
      </w:r>
      <w:r>
        <w:t xml:space="preserve">Laboratory Technician</w:t>
      </w:r>
    </w:p>
    <w:p>
      <w:pPr>
        <w:pStyle w:val="BodyText"/>
      </w:pPr>
      <w:r>
        <w:t xml:space="preserve">Location:</w:t>
      </w:r>
      <w:r>
        <w:t xml:space="preserve"> </w:t>
      </w:r>
      <w:r>
        <w:t xml:space="preserve">Berlin, Germany</w:t>
      </w:r>
    </w:p>
    <w:p>
      <w:pPr>
        <w:pStyle w:val="BodyText"/>
      </w:pPr>
      <w:r>
        <w:t xml:space="preserve">Date of Review:</w:t>
      </w:r>
      <w:r>
        <w:t xml:space="preserve"> </w:t>
      </w:r>
      <w:r>
        <w:t xml:space="preserve">October 24, 2023</w:t>
      </w:r>
    </w:p>
    <w:p>
      <w:pPr>
        <w:pStyle w:val="BodyText"/>
      </w:pPr>
      <w:r>
        <w:t xml:space="preserve">Review Period:</w:t>
      </w:r>
      <w:r>
        <w:t xml:space="preserve"> </w:t>
      </w:r>
      <w:r>
        <w:t xml:space="preserve">January 2023 – October 2023</w:t>
      </w:r>
    </w:p>
    <w:p>
      <w:pPr>
        <w:pStyle w:val="BodyText"/>
      </w:pPr>
      <w:r>
        <w:t xml:space="preserve">Reviewer:</w:t>
      </w:r>
      <w:r>
        <w:t xml:space="preserve"> </w:t>
      </w:r>
      <w:r>
        <w:t xml:space="preserve">Senior Laboratory Scientist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proficiency, and operational compliance of the subject</w:t>
      </w:r>
      <w:r>
        <w:t xml:space="preserve"> </w:t>
      </w:r>
      <w:r>
        <w:rPr>
          <w:bCs/>
          <w:b/>
        </w:rPr>
        <w:t xml:space="preserve">Laboratory Technician</w:t>
      </w:r>
      <w:r>
        <w:t xml:space="preserve">. The assessment is conducted within the rigorous regulatory framework governing clinical and research laboratories in</w:t>
      </w:r>
      <w:r>
        <w:t xml:space="preserve"> </w:t>
      </w:r>
      <w:r>
        <w:rPr>
          <w:bCs/>
          <w:b/>
        </w:rPr>
        <w:t xml:space="preserve">Germany Berlin</w:t>
      </w:r>
      <w:r>
        <w:t xml:space="preserve">. Berlin, as a hub for biomedical research and healthcare innovation, demands the highest standards of precision, data integrity, and safety. This report evaluates the technician's ability to navigate these specific local and national requirements while maintaining excellence in daily laboratory operations.</w:t>
      </w:r>
    </w:p>
    <w:bookmarkEnd w:id="21"/>
    <w:bookmarkStart w:id="22" w:name="Xc1bf6019d7c7f546cd756b019a9b2d8bdab0c79"/>
    <w:p>
      <w:pPr>
        <w:pStyle w:val="Heading2"/>
      </w:pPr>
      <w:r>
        <w:t xml:space="preserve">2. Regulatory Compliance and Safety Standards</w:t>
      </w:r>
    </w:p>
    <w:p>
      <w:pPr>
        <w:pStyle w:val="FirstParagraph"/>
      </w:pPr>
      <w:r>
        <w:t xml:space="preserve">Operating as a</w:t>
      </w:r>
      <w:r>
        <w:t xml:space="preserve"> </w:t>
      </w:r>
      <w:r>
        <w:rPr>
          <w:bCs/>
          <w:b/>
        </w:rPr>
        <w:t xml:space="preserve">Laboratory Technician</w:t>
      </w:r>
      <w:r>
        <w:t xml:space="preserve"> </w:t>
      </w:r>
      <w:r>
        <w:t xml:space="preserve">in</w:t>
      </w:r>
      <w:r>
        <w:t xml:space="preserve"> </w:t>
      </w:r>
      <w:r>
        <w:rPr>
          <w:bCs/>
          <w:b/>
        </w:rPr>
        <w:t xml:space="preserve">Germany Berlin</w:t>
      </w:r>
      <w:r>
        <w:t xml:space="preserve"> </w:t>
      </w:r>
      <w:r>
        <w:t xml:space="preserve">requires strict adherence to German federal laws and local Berlin health regulations. The primary focus of this review is the technician's compliance with the</w:t>
      </w:r>
      <w:r>
        <w:t xml:space="preserve"> </w:t>
      </w:r>
      <w:r>
        <w:rPr>
          <w:iCs/>
          <w:i/>
        </w:rPr>
        <w:t xml:space="preserve">Arbeitsstättenverordnung</w:t>
      </w:r>
      <w:r>
        <w:t xml:space="preserve"> </w:t>
      </w:r>
      <w:r>
        <w:t xml:space="preserve">(Workplace Ordinance) and the</w:t>
      </w:r>
      <w:r>
        <w:t xml:space="preserve"> </w:t>
      </w:r>
      <w:r>
        <w:rPr>
          <w:iCs/>
          <w:i/>
        </w:rPr>
        <w:t xml:space="preserve">Biostoffverordnung</w:t>
      </w:r>
      <w:r>
        <w:t xml:space="preserve"> </w:t>
      </w:r>
      <w:r>
        <w:t xml:space="preserve">(Biohazard Ordinance).</w:t>
      </w:r>
    </w:p>
    <w:p>
      <w:pPr>
        <w:pStyle w:val="BodyText"/>
      </w:pPr>
      <w:r>
        <w:t xml:space="preserve">The subject has demonstrated an exemplary understanding of safety protocols. During routine audits of the laboratory workspace, the technician consistently maintained a hazard-free environment. Their handling of biological samples aligns perfectly with the standards set by the Robert Koch Institute (RKI). Furthermore, the technician has shown proficiency in managing chemical waste disposal in accordance with Berlin's specific environmental protection guidelines. This level of diligence is critical in a metropolitan setting like Berlin, where regulatory oversight is frequent and stringent.</w:t>
      </w:r>
    </w:p>
    <w:bookmarkEnd w:id="22"/>
    <w:bookmarkStart w:id="25" w:name="X59b4734a128211a338d6c437f5b0408dc477485"/>
    <w:p>
      <w:pPr>
        <w:pStyle w:val="Heading2"/>
      </w:pPr>
      <w:r>
        <w:t xml:space="preserve">3. Technical Proficiency and Analytical Skills</w:t>
      </w:r>
    </w:p>
    <w:p>
      <w:pPr>
        <w:pStyle w:val="FirstParagraph"/>
      </w:pPr>
      <w:r>
        <w:t xml:space="preserve">The core competency of a</w:t>
      </w:r>
      <w:r>
        <w:t xml:space="preserve"> </w:t>
      </w:r>
      <w:r>
        <w:rPr>
          <w:bCs/>
          <w:b/>
        </w:rPr>
        <w:t xml:space="preserve">Laboratory Technician</w:t>
      </w:r>
      <w:r>
        <w:t xml:space="preserve"> </w:t>
      </w:r>
      <w:r>
        <w:t xml:space="preserve">lies in their technical execution. This</w:t>
      </w:r>
      <w:r>
        <w:t xml:space="preserve"> </w:t>
      </w:r>
      <w:r>
        <w:rPr>
          <w:bCs/>
          <w:b/>
        </w:rPr>
        <w:t xml:space="preserve">Peer Review Report</w:t>
      </w:r>
      <w:r>
        <w:t xml:space="preserve"> </w:t>
      </w:r>
      <w:r>
        <w:t xml:space="preserve">assesses the subject's ability to perform complex diagnostic tests and maintain laboratory instrumentation.</w:t>
      </w:r>
    </w:p>
    <w:bookmarkStart w:id="23" w:name="instrumentation-and-methodology"/>
    <w:p>
      <w:pPr>
        <w:pStyle w:val="Heading3"/>
      </w:pPr>
      <w:r>
        <w:t xml:space="preserve">3.1 Instrumentation and Methodology</w:t>
      </w:r>
    </w:p>
    <w:p>
      <w:pPr>
        <w:pStyle w:val="FirstParagraph"/>
      </w:pPr>
      <w:r>
        <w:t xml:space="preserve">The technician has displayed advanced skills in operating high-throughput analyzers and chromatography systems. In the context of Berlin's competitive research and clinical landscape, the ability to troubleshoot equipment independently is highly valued. The subject has successfully minimized downtime by performing routine calibrations and preventive maintenance, ensuring that the laboratory meets the turnaround time expectations of Berlin's healthcare providers.</w:t>
      </w:r>
    </w:p>
    <w:bookmarkEnd w:id="23"/>
    <w:bookmarkStart w:id="24" w:name="data-integrity-and-documentation"/>
    <w:p>
      <w:pPr>
        <w:pStyle w:val="Heading3"/>
      </w:pPr>
      <w:r>
        <w:t xml:space="preserve">3.2 Data Integrity and Documentation</w:t>
      </w:r>
    </w:p>
    <w:p>
      <w:pPr>
        <w:pStyle w:val="FirstParagraph"/>
      </w:pPr>
      <w:r>
        <w:t xml:space="preserve">German law places immense importance on documentation. The technician has adhered strictly to the principles of Good Laboratory Practice (GLP). All sample logs, test results, and chain-of-custody records have been maintained with meticulous accuracy. This attention to detail ensures that the laboratory remains compliant with the</w:t>
      </w:r>
      <w:r>
        <w:t xml:space="preserve"> </w:t>
      </w:r>
      <w:r>
        <w:rPr>
          <w:iCs/>
          <w:i/>
        </w:rPr>
        <w:t xml:space="preserve">Medizinproduktegesetz</w:t>
      </w:r>
      <w:r>
        <w:t xml:space="preserve"> </w:t>
      </w:r>
      <w:r>
        <w:t xml:space="preserve">(Medical Devices Act), a crucial aspect for any facility operating in Germany.</w:t>
      </w:r>
    </w:p>
    <w:bookmarkEnd w:id="24"/>
    <w:bookmarkEnd w:id="25"/>
    <w:bookmarkStart w:id="26" w:name="quality-assurance-and-control"/>
    <w:p>
      <w:pPr>
        <w:pStyle w:val="Heading2"/>
      </w:pPr>
      <w:r>
        <w:t xml:space="preserve">4. Quality Assurance and Control</w:t>
      </w:r>
    </w:p>
    <w:p>
      <w:pPr>
        <w:pStyle w:val="FirstParagraph"/>
      </w:pPr>
      <w:r>
        <w:t xml:space="preserve">Quality is non-negotiable in the German healthcare system. This</w:t>
      </w:r>
      <w:r>
        <w:t xml:space="preserve"> </w:t>
      </w:r>
      <w:r>
        <w:rPr>
          <w:bCs/>
          <w:b/>
        </w:rPr>
        <w:t xml:space="preserve">Peer Review Report</w:t>
      </w:r>
      <w:r>
        <w:t xml:space="preserve"> </w:t>
      </w:r>
      <w:r>
        <w:t xml:space="preserve">highlights the technician's role in the laboratory's Quality Management System (QMS).</w:t>
      </w:r>
    </w:p>
    <w:p>
      <w:pPr>
        <w:pStyle w:val="BodyText"/>
      </w:pPr>
      <w:r>
        <w:t xml:space="preserve">The subject actively participates in internal and external quality assurance programs. They have consistently ensured that control samples fall within acceptable ranges before patient or research samples are processed. In the event of minor deviations, the technician has demonstrated the correct procedural response by initiating root cause analysis and documenting corrective actions. This proactive approach to quality control reinforces the laboratory's reputation for reliability within the Berlin medical community.</w:t>
      </w:r>
    </w:p>
    <w:bookmarkEnd w:id="26"/>
    <w:bookmarkStart w:id="27" w:name="X67c72db8782542e349fb7950d6e5234a25ae776"/>
    <w:p>
      <w:pPr>
        <w:pStyle w:val="Heading2"/>
      </w:pPr>
      <w:r>
        <w:t xml:space="preserve">5. Professional Conduct and Team Collaboration</w:t>
      </w:r>
    </w:p>
    <w:p>
      <w:pPr>
        <w:pStyle w:val="FirstParagraph"/>
      </w:pPr>
      <w:r>
        <w:t xml:space="preserve">A</w:t>
      </w:r>
      <w:r>
        <w:t xml:space="preserve"> </w:t>
      </w:r>
      <w:r>
        <w:rPr>
          <w:bCs/>
          <w:b/>
        </w:rPr>
        <w:t xml:space="preserve">Laboratory Technician</w:t>
      </w:r>
      <w:r>
        <w:t xml:space="preserve"> </w:t>
      </w:r>
      <w:r>
        <w:t xml:space="preserve">does not work in isolation. Effective communication with pathologists, physicians, and fellow technicians is essential.</w:t>
      </w:r>
    </w:p>
    <w:p>
      <w:pPr>
        <w:pStyle w:val="BodyText"/>
      </w:pPr>
      <w:r>
        <w:t xml:space="preserve">The subject has exhibited strong professional conduct, characterized by punctuality, reliability, and a collaborative spirit. In the multicultural environment of</w:t>
      </w:r>
      <w:r>
        <w:t xml:space="preserve"> </w:t>
      </w:r>
      <w:r>
        <w:rPr>
          <w:bCs/>
          <w:b/>
        </w:rPr>
        <w:t xml:space="preserve">Germany Berlin</w:t>
      </w:r>
      <w:r>
        <w:t xml:space="preserve">, the ability to communicate clearly in both English and German is an asset. The technician has effectively bridged communication gaps between international research staff and local clinical teams. Their respectful demeanor and willingness to assist colleagues during peak workload periods contribute significantly to a positive laboratory culture.</w:t>
      </w:r>
    </w:p>
    <w:bookmarkEnd w:id="27"/>
    <w:bookmarkStart w:id="28" w:name="performance-rating"/>
    <w:p>
      <w:pPr>
        <w:pStyle w:val="Heading2"/>
      </w:pPr>
      <w:r>
        <w:t xml:space="preserve">6. Performance Rating</w:t>
      </w:r>
    </w:p>
    <w:p>
      <w:pPr>
        <w:pStyle w:val="FirstParagraph"/>
      </w:pPr>
      <w:r>
        <w:t xml:space="preserve">Scale: 1 (Unsatisfactory) to 5 (Outstanding)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w:t>
            </w:r>
          </w:p>
        </w:tc>
        <w:tc>
          <w:tcPr/>
          <w:p>
            <w:pPr>
              <w:pStyle w:val="Compact"/>
              <w:jc w:val="left"/>
            </w:pPr>
            <w:r>
              <w:t xml:space="preserve">Comments</w:t>
            </w:r>
          </w:p>
        </w:tc>
      </w:tr>
      <w:tr>
        <w:tc>
          <w:tcPr/>
          <w:p>
            <w:pPr>
              <w:pStyle w:val="Compact"/>
              <w:jc w:val="left"/>
            </w:pPr>
            <w:r>
              <w:t xml:space="preserve">Technical Accuracy</w:t>
            </w:r>
          </w:p>
        </w:tc>
        <w:tc>
          <w:tcPr/>
          <w:p>
            <w:pPr>
              <w:pStyle w:val="Compact"/>
              <w:jc w:val="left"/>
            </w:pPr>
            <w:r>
              <w:t xml:space="preserve">5</w:t>
            </w:r>
          </w:p>
        </w:tc>
        <w:tc>
          <w:tcPr/>
          <w:p>
            <w:pPr>
              <w:pStyle w:val="Compact"/>
              <w:jc w:val="left"/>
            </w:pPr>
            <w:r>
              <w:t xml:space="preserve">High precision in all analytical tasks.</w:t>
            </w:r>
          </w:p>
        </w:tc>
      </w:tr>
      <w:tr>
        <w:tc>
          <w:tcPr/>
          <w:p>
            <w:pPr>
              <w:pStyle w:val="Compact"/>
              <w:jc w:val="left"/>
            </w:pPr>
            <w:r>
              <w:t xml:space="preserve">Regulatory Compliance (Germany/Berlin)</w:t>
            </w:r>
          </w:p>
        </w:tc>
        <w:tc>
          <w:tcPr/>
          <w:p>
            <w:pPr>
              <w:pStyle w:val="Compact"/>
              <w:jc w:val="left"/>
            </w:pPr>
            <w:r>
              <w:t xml:space="preserve">5</w:t>
            </w:r>
          </w:p>
        </w:tc>
        <w:tc>
          <w:tcPr/>
          <w:p>
            <w:pPr>
              <w:pStyle w:val="Compact"/>
              <w:jc w:val="left"/>
            </w:pPr>
            <w:r>
              <w:t xml:space="preserve">Full adherence to local and federal laws.</w:t>
            </w:r>
          </w:p>
        </w:tc>
      </w:tr>
      <w:tr>
        <w:tc>
          <w:tcPr/>
          <w:p>
            <w:pPr>
              <w:pStyle w:val="Compact"/>
              <w:jc w:val="left"/>
            </w:pPr>
            <w:r>
              <w:t xml:space="preserve">Safety Protocols</w:t>
            </w:r>
          </w:p>
        </w:tc>
        <w:tc>
          <w:tcPr/>
          <w:p>
            <w:pPr>
              <w:pStyle w:val="Compact"/>
              <w:jc w:val="left"/>
            </w:pPr>
            <w:r>
              <w:t xml:space="preserve">5</w:t>
            </w:r>
          </w:p>
        </w:tc>
        <w:tc>
          <w:tcPr/>
          <w:p>
            <w:pPr>
              <w:pStyle w:val="Compact"/>
              <w:jc w:val="left"/>
            </w:pPr>
            <w:r>
              <w:t xml:space="preserve">Exemplary safety record.</w:t>
            </w:r>
          </w:p>
        </w:tc>
      </w:tr>
      <w:tr>
        <w:tc>
          <w:tcPr/>
          <w:p>
            <w:pPr>
              <w:pStyle w:val="Compact"/>
              <w:jc w:val="left"/>
            </w:pPr>
            <w:r>
              <w:t xml:space="preserve">Documentation &amp; Reporting</w:t>
            </w:r>
          </w:p>
        </w:tc>
        <w:tc>
          <w:tcPr/>
          <w:p>
            <w:pPr>
              <w:pStyle w:val="Compact"/>
              <w:jc w:val="left"/>
            </w:pPr>
            <w:r>
              <w:t xml:space="preserve">4</w:t>
            </w:r>
          </w:p>
        </w:tc>
        <w:tc>
          <w:tcPr/>
          <w:p>
            <w:pPr>
              <w:pStyle w:val="Compact"/>
              <w:jc w:val="left"/>
            </w:pPr>
            <w:r>
              <w:t xml:space="preserve">Accurate, though minor improvements in speed noted.</w:t>
            </w:r>
          </w:p>
        </w:tc>
      </w:tr>
      <w:tr>
        <w:tc>
          <w:tcPr/>
          <w:p>
            <w:pPr>
              <w:pStyle w:val="Compact"/>
              <w:jc w:val="left"/>
            </w:pPr>
            <w:r>
              <w:t xml:space="preserve">Team Collaboration</w:t>
            </w:r>
          </w:p>
        </w:tc>
        <w:tc>
          <w:tcPr/>
          <w:p>
            <w:pPr>
              <w:pStyle w:val="Compact"/>
              <w:jc w:val="left"/>
            </w:pPr>
            <w:r>
              <w:t xml:space="preserve">5</w:t>
            </w:r>
          </w:p>
        </w:tc>
        <w:tc>
          <w:tcPr/>
          <w:p>
            <w:pPr>
              <w:pStyle w:val="Compact"/>
              <w:jc w:val="left"/>
            </w:pPr>
            <w:r>
              <w:t xml:space="preserve">Strong communicator and team player.</w:t>
            </w:r>
          </w:p>
        </w:tc>
      </w:tr>
    </w:tbl>
    <w:bookmarkEnd w:id="28"/>
    <w:bookmarkStart w:id="29" w:name="recommendations-and-conclusion"/>
    <w:p>
      <w:pPr>
        <w:pStyle w:val="Heading2"/>
      </w:pPr>
      <w:r>
        <w:t xml:space="preserve">7. Recommendations and Conclusion</w:t>
      </w:r>
    </w:p>
    <w:p>
      <w:pPr>
        <w:pStyle w:val="FirstParagraph"/>
      </w:pPr>
      <w:r>
        <w:t xml:space="preserve">Based on the findings of this</w:t>
      </w:r>
      <w:r>
        <w:t xml:space="preserve"> </w:t>
      </w:r>
      <w:r>
        <w:rPr>
          <w:bCs/>
          <w:b/>
        </w:rPr>
        <w:t xml:space="preserve">Peer Review Report</w:t>
      </w:r>
      <w:r>
        <w:t xml:space="preserve">, the subject</w:t>
      </w:r>
      <w:r>
        <w:t xml:space="preserve"> </w:t>
      </w:r>
      <w:r>
        <w:rPr>
          <w:bCs/>
          <w:b/>
        </w:rPr>
        <w:t xml:space="preserve">Laboratory Technician</w:t>
      </w:r>
      <w:r>
        <w:t xml:space="preserve"> </w:t>
      </w:r>
      <w:r>
        <w:t xml:space="preserve">is deemed to be performing at a level that exceeds the standard expectations for their role in</w:t>
      </w:r>
      <w:r>
        <w:t xml:space="preserve"> </w:t>
      </w:r>
      <w:r>
        <w:rPr>
          <w:bCs/>
          <w:b/>
        </w:rPr>
        <w:t xml:space="preserve">Germany Berlin</w:t>
      </w:r>
      <w:r>
        <w:t xml:space="preserve">. Their technical expertise, combined with a deep respect for German regulatory frameworks, makes them a valuable asset to the institution.</w:t>
      </w:r>
    </w:p>
    <w:p>
      <w:pPr>
        <w:pStyle w:val="BodyText"/>
      </w:pPr>
      <w:r>
        <w:rPr>
          <w:bCs/>
          <w:b/>
        </w:rPr>
        <w:t xml:space="preserve">Recommendations:</w:t>
      </w:r>
    </w:p>
    <w:p>
      <w:pPr>
        <w:numPr>
          <w:ilvl w:val="0"/>
          <w:numId w:val="1001"/>
        </w:numPr>
        <w:pStyle w:val="Compact"/>
      </w:pPr>
      <w:r>
        <w:t xml:space="preserve">Encourage participation in advanced certification courses specific to German medical laboratory standards.</w:t>
      </w:r>
    </w:p>
    <w:p>
      <w:pPr>
        <w:numPr>
          <w:ilvl w:val="0"/>
          <w:numId w:val="1001"/>
        </w:numPr>
        <w:pStyle w:val="Compact"/>
      </w:pPr>
      <w:r>
        <w:t xml:space="preserve">Assign leadership responsibilities in upcoming internal quality audits.</w:t>
      </w:r>
    </w:p>
    <w:p>
      <w:pPr>
        <w:numPr>
          <w:ilvl w:val="0"/>
          <w:numId w:val="1001"/>
        </w:numPr>
        <w:pStyle w:val="Compact"/>
      </w:pPr>
      <w:r>
        <w:t xml:space="preserve">Continue to foster cross-departmental collaboration with Berlin-based research institutes.</w:t>
      </w:r>
    </w:p>
    <w:p>
      <w:pPr>
        <w:pStyle w:val="FirstParagraph"/>
      </w:pPr>
      <w:r>
        <w:t xml:space="preserve">In conclusion, this technician upholds the integrity and excellence required of the profession in this region. This report confirms their suitability for continued employment and potential advancement within the organization.</w:t>
      </w:r>
    </w:p>
    <w:bookmarkEnd w:id="29"/>
    <w:p>
      <w:pPr>
        <w:pStyle w:val="BodyText"/>
      </w:pPr>
      <w:r>
        <w:rPr>
          <w:bCs/>
          <w:b/>
        </w:rPr>
        <w:t xml:space="preserve">Reviewer Signature:</w:t>
      </w:r>
    </w:p>
    <w:p>
      <w:pPr>
        <w:pStyle w:val="BodyText"/>
      </w:pPr>
      <w:r>
        <w:t xml:space="preserve">Dr. A. Schmidt</w:t>
      </w:r>
    </w:p>
    <w:p>
      <w:pPr>
        <w:pStyle w:val="BodyText"/>
      </w:pPr>
      <w:r>
        <w:t xml:space="preserve">Senior Laboratory Scientist</w:t>
      </w:r>
    </w:p>
    <w:p>
      <w:pPr>
        <w:pStyle w:val="BodyText"/>
      </w:pPr>
      <w:r>
        <w:rPr>
          <w:bCs/>
          <w:b/>
        </w:rPr>
        <w:t xml:space="preserve">Technician Acknowledgment:</w:t>
      </w:r>
    </w:p>
    <w:p>
      <w:pPr>
        <w:pStyle w:val="BodyText"/>
      </w:pPr>
      <w:r>
        <w:t xml:space="preserve">J. Doe</w:t>
      </w:r>
    </w:p>
    <w:p>
      <w:pPr>
        <w:pStyle w:val="BodyText"/>
      </w:pPr>
      <w:r>
        <w:t xml:space="preserve">Laboratory Technician</w:t>
      </w:r>
    </w:p>
    <w:p>
      <w:pPr>
        <w:pStyle w:val="BodyText"/>
      </w:pPr>
      <w:r>
        <w:t xml:space="preserve">Confidential Document - Internal Use Only. Generated for Peer Review purposes in 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Berlin, Germany</dc:title>
  <dc:creator/>
  <dc:language>en</dc:language>
  <cp:keywords/>
  <dcterms:created xsi:type="dcterms:W3CDTF">2026-10-10T05:11:15Z</dcterms:created>
  <dcterms:modified xsi:type="dcterms:W3CDTF">2026-10-10T05:11:15Z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